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华文中宋" w:hAnsi="华文中宋" w:eastAsia="华文中宋" w:cs="华文中宋"/>
          <w:b/>
          <w:bCs/>
          <w:sz w:val="44"/>
          <w:szCs w:val="44"/>
        </w:rPr>
      </w:pPr>
      <w:bookmarkStart w:id="0" w:name="_GoBack"/>
      <w:bookmarkEnd w:id="0"/>
      <w:r>
        <w:rPr>
          <w:rFonts w:hint="eastAsia" w:ascii="华文中宋" w:hAnsi="华文中宋" w:eastAsia="华文中宋" w:cs="华文中宋"/>
          <w:b/>
          <w:bCs/>
          <w:sz w:val="44"/>
          <w:szCs w:val="44"/>
        </w:rPr>
        <w:t>县</w:t>
      </w:r>
      <w:r>
        <w:rPr>
          <w:rFonts w:hint="eastAsia" w:ascii="华文中宋" w:hAnsi="华文中宋" w:eastAsia="华文中宋" w:cs="华文中宋"/>
          <w:b/>
          <w:bCs/>
          <w:sz w:val="44"/>
          <w:szCs w:val="44"/>
          <w:lang w:eastAsia="zh-CN"/>
        </w:rPr>
        <w:t>住建</w:t>
      </w:r>
      <w:r>
        <w:rPr>
          <w:rFonts w:hint="eastAsia" w:ascii="华文中宋" w:hAnsi="华文中宋" w:eastAsia="华文中宋" w:cs="华文中宋"/>
          <w:b/>
          <w:bCs/>
          <w:sz w:val="44"/>
          <w:szCs w:val="44"/>
        </w:rPr>
        <w:t>局行政执法集中内容公示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一、剑阁县</w:t>
      </w:r>
      <w:r>
        <w:rPr>
          <w:rFonts w:hint="eastAsia" w:ascii="黑体" w:hAnsi="黑体" w:eastAsia="黑体" w:cs="黑体"/>
          <w:b/>
          <w:bCs/>
          <w:sz w:val="32"/>
          <w:szCs w:val="32"/>
          <w:lang w:eastAsia="zh-CN"/>
        </w:rPr>
        <w:t>住房和城乡建设</w:t>
      </w:r>
      <w:r>
        <w:rPr>
          <w:rFonts w:hint="eastAsia" w:ascii="黑体" w:hAnsi="黑体" w:eastAsia="黑体" w:cs="黑体"/>
          <w:b/>
          <w:bCs/>
          <w:sz w:val="32"/>
          <w:szCs w:val="32"/>
        </w:rPr>
        <w:t>局行政执法主体</w:t>
      </w:r>
    </w:p>
    <w:p>
      <w:pPr>
        <w:pStyle w:val="12"/>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剑阁县经济信息化和科学技术局</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rPr>
        <w:t>行政执法主体1个</w:t>
      </w:r>
      <w:r>
        <w:rPr>
          <w:rFonts w:hint="eastAsia" w:ascii="仿宋" w:hAnsi="仿宋" w:eastAsia="仿宋" w:cs="仿宋"/>
          <w:sz w:val="32"/>
          <w:szCs w:val="32"/>
        </w:rPr>
        <w:t>：剑阁县</w:t>
      </w:r>
      <w:r>
        <w:rPr>
          <w:rFonts w:hint="eastAsia" w:ascii="仿宋" w:hAnsi="仿宋" w:eastAsia="仿宋" w:cs="仿宋"/>
          <w:sz w:val="32"/>
          <w:szCs w:val="32"/>
          <w:lang w:eastAsia="zh-CN"/>
        </w:rPr>
        <w:t>住建</w:t>
      </w:r>
      <w:r>
        <w:rPr>
          <w:rFonts w:hint="eastAsia" w:ascii="仿宋" w:hAnsi="仿宋" w:eastAsia="仿宋" w:cs="仿宋"/>
          <w:sz w:val="32"/>
          <w:szCs w:val="32"/>
        </w:rPr>
        <w:t>局    地址:四川省广元市剑阁县下寺镇</w:t>
      </w:r>
      <w:r>
        <w:rPr>
          <w:rFonts w:hint="eastAsia" w:ascii="仿宋" w:hAnsi="仿宋" w:eastAsia="仿宋" w:cs="仿宋"/>
          <w:sz w:val="32"/>
          <w:szCs w:val="32"/>
          <w:lang w:eastAsia="zh-CN"/>
        </w:rPr>
        <w:t>汉德街</w:t>
      </w:r>
      <w:r>
        <w:rPr>
          <w:rFonts w:hint="eastAsia" w:ascii="仿宋" w:hAnsi="仿宋" w:eastAsia="仿宋" w:cs="仿宋"/>
          <w:sz w:val="32"/>
          <w:szCs w:val="32"/>
        </w:rPr>
        <w:t xml:space="preserve">  邮编:628317   电话0839-660</w:t>
      </w:r>
      <w:r>
        <w:rPr>
          <w:rFonts w:hint="eastAsia" w:ascii="仿宋" w:hAnsi="仿宋" w:eastAsia="仿宋" w:cs="仿宋"/>
          <w:sz w:val="32"/>
          <w:szCs w:val="32"/>
          <w:lang w:val="en-US" w:eastAsia="zh-CN"/>
        </w:rPr>
        <w:t>1355</w:t>
      </w:r>
      <w:r>
        <w:rPr>
          <w:rFonts w:hint="eastAsia" w:ascii="仿宋" w:hAnsi="仿宋" w:eastAsia="仿宋" w:cs="仿宋"/>
          <w:sz w:val="32"/>
          <w:szCs w:val="32"/>
        </w:rPr>
        <w:t xml:space="preserve">    传真:0839-660</w:t>
      </w:r>
      <w:r>
        <w:rPr>
          <w:rFonts w:hint="eastAsia" w:ascii="仿宋" w:hAnsi="仿宋" w:eastAsia="仿宋" w:cs="仿宋"/>
          <w:sz w:val="32"/>
          <w:szCs w:val="32"/>
          <w:lang w:val="en-US" w:eastAsia="zh-CN"/>
        </w:rPr>
        <w:t>1355</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仿宋" w:hAnsi="仿宋" w:eastAsia="仿宋" w:cs="仿宋"/>
          <w:sz w:val="32"/>
          <w:szCs w:val="32"/>
        </w:rPr>
      </w:pPr>
      <w:r>
        <w:rPr>
          <w:rFonts w:hint="eastAsia" w:ascii="仿宋" w:hAnsi="仿宋" w:eastAsia="仿宋" w:cs="仿宋"/>
          <w:b/>
          <w:bCs/>
          <w:sz w:val="32"/>
          <w:szCs w:val="32"/>
        </w:rPr>
        <w:t>行政执法机构设置</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个</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行政执法股室：</w:t>
      </w:r>
      <w:r>
        <w:rPr>
          <w:rFonts w:hint="eastAsia" w:ascii="仿宋" w:hAnsi="仿宋" w:eastAsia="仿宋" w:cs="仿宋"/>
          <w:sz w:val="32"/>
          <w:szCs w:val="32"/>
          <w:lang w:eastAsia="zh-CN"/>
        </w:rPr>
        <w:t>基建建筑业管理股、房地产市场监督管理股、城市建设综合股、村镇建设管理股</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主要职责</w:t>
      </w:r>
      <w:r>
        <w:rPr>
          <w:rFonts w:hint="eastAsia" w:ascii="仿宋" w:hAnsi="仿宋" w:eastAsia="仿宋" w:cs="仿宋"/>
          <w:kern w:val="0"/>
          <w:sz w:val="32"/>
          <w:szCs w:val="32"/>
        </w:rPr>
        <w:t>：指导城乡建设住房系统行政执法、行政执法监督检查、行政复议、行政诉讼和法律服务工作；指导城乡建设住房系统的法制建设、宣传教育和直属企事业单位的改革工作；负责全县建筑行业管理；拟订建筑业的发展规划和产业政策；指导建筑企业体制改革工作；拟订规范建筑市场和施工现场的管理制度并监督执行；负责建设工程建设、施工许可、建筑业技术进步、有形建筑市场的监督管理工作；贯彻执行国家城市建设有关法律、法规、政策和有关技术规范标准，综合协调局属各部门相关技术问题。</w:t>
      </w:r>
    </w:p>
    <w:p>
      <w:pPr>
        <w:keepNext w:val="0"/>
        <w:keepLines w:val="0"/>
        <w:pageBreakBefore w:val="0"/>
        <w:widowControl w:val="0"/>
        <w:kinsoku/>
        <w:wordWrap/>
        <w:overflowPunct/>
        <w:topLinePunct w:val="0"/>
        <w:autoSpaceDE/>
        <w:autoSpaceDN/>
        <w:bidi w:val="0"/>
        <w:adjustRightInd/>
        <w:snapToGrid/>
        <w:spacing w:line="580" w:lineRule="exact"/>
        <w:ind w:firstLine="481" w:firstLineChars="150"/>
        <w:textAlignment w:val="auto"/>
        <w:rPr>
          <w:rFonts w:hint="eastAsia" w:ascii="黑体" w:hAnsi="黑体" w:eastAsia="黑体" w:cs="黑体"/>
          <w:b/>
          <w:bCs/>
          <w:sz w:val="32"/>
          <w:szCs w:val="32"/>
        </w:rPr>
      </w:pPr>
      <w:r>
        <w:rPr>
          <w:rFonts w:hint="eastAsia" w:ascii="黑体" w:hAnsi="黑体" w:eastAsia="黑体" w:cs="黑体"/>
          <w:b/>
          <w:bCs/>
          <w:sz w:val="32"/>
          <w:szCs w:val="32"/>
        </w:rPr>
        <w:t>二、剑阁县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局政执法人员清单</w:t>
      </w:r>
    </w:p>
    <w:tbl>
      <w:tblPr>
        <w:tblStyle w:val="5"/>
        <w:tblW w:w="9655" w:type="dxa"/>
        <w:tblInd w:w="-106" w:type="dxa"/>
        <w:tblLayout w:type="fixed"/>
        <w:tblCellMar>
          <w:top w:w="0" w:type="dxa"/>
          <w:left w:w="108" w:type="dxa"/>
          <w:bottom w:w="0" w:type="dxa"/>
          <w:right w:w="108" w:type="dxa"/>
        </w:tblCellMar>
      </w:tblPr>
      <w:tblGrid>
        <w:gridCol w:w="704"/>
        <w:gridCol w:w="1063"/>
        <w:gridCol w:w="782"/>
        <w:gridCol w:w="1393"/>
        <w:gridCol w:w="1156"/>
        <w:gridCol w:w="1706"/>
        <w:gridCol w:w="1414"/>
        <w:gridCol w:w="946"/>
        <w:gridCol w:w="491"/>
      </w:tblGrid>
      <w:tr>
        <w:tblPrEx>
          <w:tblCellMar>
            <w:top w:w="0" w:type="dxa"/>
            <w:left w:w="108" w:type="dxa"/>
            <w:bottom w:w="0" w:type="dxa"/>
            <w:right w:w="108" w:type="dxa"/>
          </w:tblCellMar>
        </w:tblPrEx>
        <w:trPr>
          <w:trHeight w:val="970" w:hRule="atLeast"/>
          <w:tblHeader/>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序号</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姓名</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性别</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工作单位</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编制情况</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证件编号</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执法类别</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执法区域</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备注</w:t>
            </w: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1</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杨永红</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08040098</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2</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徐兴文</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08040102</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83"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3</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何</w:t>
            </w:r>
            <w:r>
              <w:rPr>
                <w:rFonts w:hint="eastAsia" w:ascii="宋体" w:cs="宋体"/>
                <w:sz w:val="24"/>
                <w:szCs w:val="24"/>
                <w:lang w:val="en-US" w:eastAsia="zh-CN"/>
              </w:rPr>
              <w:t xml:space="preserve">  </w:t>
            </w:r>
            <w:r>
              <w:rPr>
                <w:rFonts w:hint="eastAsia" w:ascii="宋体" w:cs="宋体"/>
                <w:sz w:val="24"/>
                <w:szCs w:val="24"/>
                <w:lang w:eastAsia="zh-CN"/>
              </w:rPr>
              <w:t>军</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08040106</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4</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贾伦军</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08040107</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5</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冯春茂</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08040108</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6</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梁丽琼</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08040109</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7</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高</w:t>
            </w:r>
            <w:r>
              <w:rPr>
                <w:rFonts w:hint="eastAsia" w:ascii="宋体" w:cs="宋体"/>
                <w:sz w:val="24"/>
                <w:szCs w:val="24"/>
                <w:lang w:val="en-US" w:eastAsia="zh-CN"/>
              </w:rPr>
              <w:t xml:space="preserve">  </w:t>
            </w:r>
            <w:r>
              <w:rPr>
                <w:rFonts w:hint="eastAsia" w:ascii="宋体" w:cs="宋体"/>
                <w:sz w:val="24"/>
                <w:szCs w:val="24"/>
                <w:lang w:eastAsia="zh-CN"/>
              </w:rPr>
              <w:t>桠</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08040110</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8</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王</w:t>
            </w:r>
            <w:r>
              <w:rPr>
                <w:rFonts w:hint="eastAsia" w:ascii="宋体" w:cs="宋体"/>
                <w:sz w:val="24"/>
                <w:szCs w:val="24"/>
                <w:lang w:val="en-US" w:eastAsia="zh-CN"/>
              </w:rPr>
              <w:t xml:space="preserve">  </w:t>
            </w:r>
            <w:r>
              <w:rPr>
                <w:rFonts w:hint="eastAsia" w:ascii="宋体" w:cs="宋体"/>
                <w:sz w:val="24"/>
                <w:szCs w:val="24"/>
                <w:lang w:eastAsia="zh-CN"/>
              </w:rPr>
              <w:t>荣</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08040111</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9</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hAnsi="宋体" w:cs="宋体"/>
                <w:sz w:val="24"/>
                <w:szCs w:val="24"/>
              </w:rPr>
              <w:t>张</w:t>
            </w:r>
            <w:r>
              <w:rPr>
                <w:rFonts w:hint="eastAsia" w:ascii="宋体" w:hAnsi="宋体" w:cs="宋体"/>
                <w:sz w:val="24"/>
                <w:szCs w:val="24"/>
                <w:lang w:eastAsia="zh-CN"/>
              </w:rPr>
              <w:t>建益</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08040114</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23"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10</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both"/>
              <w:rPr>
                <w:rFonts w:hint="eastAsia" w:ascii="宋体" w:eastAsia="宋体" w:cs="宋体"/>
                <w:sz w:val="24"/>
                <w:szCs w:val="24"/>
                <w:lang w:eastAsia="zh-CN"/>
              </w:rPr>
            </w:pPr>
            <w:r>
              <w:rPr>
                <w:rFonts w:hint="eastAsia" w:ascii="宋体" w:cs="宋体"/>
                <w:sz w:val="24"/>
                <w:szCs w:val="24"/>
                <w:lang w:eastAsia="zh-CN"/>
              </w:rPr>
              <w:t>王</w:t>
            </w:r>
            <w:r>
              <w:rPr>
                <w:rFonts w:hint="eastAsia" w:ascii="宋体" w:cs="宋体"/>
                <w:sz w:val="24"/>
                <w:szCs w:val="24"/>
                <w:lang w:val="en-US" w:eastAsia="zh-CN"/>
              </w:rPr>
              <w:t xml:space="preserve">  </w:t>
            </w:r>
            <w:r>
              <w:rPr>
                <w:rFonts w:hint="eastAsia" w:ascii="宋体" w:cs="宋体"/>
                <w:sz w:val="24"/>
                <w:szCs w:val="24"/>
                <w:lang w:eastAsia="zh-CN"/>
              </w:rPr>
              <w:t>芳</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08040115</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11</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杨文武</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08040117</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12</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张</w:t>
            </w:r>
            <w:r>
              <w:rPr>
                <w:rFonts w:hint="eastAsia" w:ascii="宋体" w:cs="宋体"/>
                <w:sz w:val="24"/>
                <w:szCs w:val="24"/>
                <w:lang w:val="en-US" w:eastAsia="zh-CN"/>
              </w:rPr>
              <w:t xml:space="preserve">  </w:t>
            </w:r>
            <w:r>
              <w:rPr>
                <w:rFonts w:hint="eastAsia" w:ascii="宋体" w:cs="宋体"/>
                <w:sz w:val="24"/>
                <w:szCs w:val="24"/>
                <w:lang w:eastAsia="zh-CN"/>
              </w:rPr>
              <w:t>垠</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08040118</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13</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施</w:t>
            </w:r>
            <w:r>
              <w:rPr>
                <w:rFonts w:hint="eastAsia" w:ascii="宋体" w:cs="宋体"/>
                <w:sz w:val="24"/>
                <w:szCs w:val="24"/>
                <w:lang w:val="en-US" w:eastAsia="zh-CN"/>
              </w:rPr>
              <w:t xml:space="preserve">  </w:t>
            </w:r>
            <w:r>
              <w:rPr>
                <w:rFonts w:hint="eastAsia" w:ascii="宋体" w:cs="宋体"/>
                <w:sz w:val="24"/>
                <w:szCs w:val="24"/>
                <w:lang w:eastAsia="zh-CN"/>
              </w:rPr>
              <w:t>毅</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08040119</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4"/>
                <w:szCs w:val="24"/>
              </w:rPr>
            </w:pPr>
            <w:r>
              <w:rPr>
                <w:rFonts w:ascii="宋体" w:hAnsi="宋体" w:cs="宋体"/>
                <w:sz w:val="24"/>
                <w:szCs w:val="24"/>
              </w:rPr>
              <w:t>14</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李</w:t>
            </w:r>
            <w:r>
              <w:rPr>
                <w:rFonts w:hint="eastAsia" w:ascii="宋体" w:cs="宋体"/>
                <w:sz w:val="24"/>
                <w:szCs w:val="24"/>
                <w:lang w:val="en-US" w:eastAsia="zh-CN"/>
              </w:rPr>
              <w:t xml:space="preserve">  </w:t>
            </w:r>
            <w:r>
              <w:rPr>
                <w:rFonts w:hint="eastAsia" w:ascii="宋体" w:cs="宋体"/>
                <w:sz w:val="24"/>
                <w:szCs w:val="24"/>
                <w:lang w:eastAsia="zh-CN"/>
              </w:rPr>
              <w:t>丽</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08040120</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15</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张容芳</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190501</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16</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冯天强</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20180011</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17</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赵菊芳</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20180044</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18</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王</w:t>
            </w:r>
            <w:r>
              <w:rPr>
                <w:rFonts w:hint="eastAsia" w:ascii="宋体" w:cs="宋体"/>
                <w:sz w:val="24"/>
                <w:szCs w:val="24"/>
                <w:lang w:val="en-US" w:eastAsia="zh-CN"/>
              </w:rPr>
              <w:t xml:space="preserve">  </w:t>
            </w:r>
            <w:r>
              <w:rPr>
                <w:rFonts w:hint="eastAsia" w:ascii="宋体" w:cs="宋体"/>
                <w:sz w:val="24"/>
                <w:szCs w:val="24"/>
                <w:lang w:eastAsia="zh-CN"/>
              </w:rPr>
              <w:t>涛</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20190502</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19</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周</w:t>
            </w:r>
            <w:r>
              <w:rPr>
                <w:rFonts w:hint="eastAsia" w:ascii="宋体" w:cs="宋体"/>
                <w:sz w:val="24"/>
                <w:szCs w:val="24"/>
                <w:lang w:val="en-US" w:eastAsia="zh-CN"/>
              </w:rPr>
              <w:t xml:space="preserve">  </w:t>
            </w:r>
            <w:r>
              <w:rPr>
                <w:rFonts w:hint="eastAsia" w:ascii="宋体" w:cs="宋体"/>
                <w:sz w:val="24"/>
                <w:szCs w:val="24"/>
                <w:lang w:eastAsia="zh-CN"/>
              </w:rPr>
              <w:t>蓉</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20190503</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20</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涂晓啡</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20190504</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21</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赵小凤</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20190506</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22</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李玉国</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20190507</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23</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杨建安</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20190511</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24</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郭晓梅</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女</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20190512</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42"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25</w:t>
            </w: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张</w:t>
            </w:r>
            <w:r>
              <w:rPr>
                <w:rFonts w:hint="eastAsia" w:ascii="宋体" w:cs="宋体"/>
                <w:sz w:val="24"/>
                <w:szCs w:val="24"/>
                <w:lang w:val="en-US" w:eastAsia="zh-CN"/>
              </w:rPr>
              <w:t xml:space="preserve">  </w:t>
            </w:r>
            <w:r>
              <w:rPr>
                <w:rFonts w:hint="eastAsia" w:ascii="宋体" w:cs="宋体"/>
                <w:sz w:val="24"/>
                <w:szCs w:val="24"/>
                <w:lang w:eastAsia="zh-CN"/>
              </w:rPr>
              <w:t>钊</w:t>
            </w: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男</w:t>
            </w: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w:t>
            </w:r>
            <w:r>
              <w:rPr>
                <w:rFonts w:hint="eastAsia" w:ascii="宋体" w:hAnsi="宋体" w:cs="宋体"/>
                <w:sz w:val="24"/>
                <w:szCs w:val="24"/>
                <w:lang w:eastAsia="zh-CN"/>
              </w:rPr>
              <w:t>住建局</w:t>
            </w: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事业</w:t>
            </w: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4"/>
                <w:szCs w:val="24"/>
                <w:lang w:val="en-US"/>
              </w:rPr>
            </w:pPr>
            <w:r>
              <w:rPr>
                <w:rFonts w:hint="eastAsia" w:ascii="宋体" w:hAnsi="宋体" w:cs="宋体"/>
                <w:sz w:val="24"/>
                <w:szCs w:val="24"/>
              </w:rPr>
              <w:t>川</w:t>
            </w:r>
            <w:r>
              <w:rPr>
                <w:rFonts w:ascii="宋体" w:hAnsi="宋体" w:cs="宋体"/>
                <w:sz w:val="24"/>
                <w:szCs w:val="24"/>
              </w:rPr>
              <w:t>H</w:t>
            </w:r>
            <w:r>
              <w:rPr>
                <w:rFonts w:hint="eastAsia" w:ascii="宋体" w:hAnsi="宋体" w:cs="宋体"/>
                <w:sz w:val="24"/>
                <w:szCs w:val="24"/>
                <w:lang w:val="en-US" w:eastAsia="zh-CN"/>
              </w:rPr>
              <w:t>20190513</w:t>
            </w: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r>
              <w:rPr>
                <w:rFonts w:hint="eastAsia" w:ascii="宋体" w:cs="宋体"/>
                <w:sz w:val="24"/>
                <w:szCs w:val="24"/>
                <w:lang w:eastAsia="zh-CN"/>
              </w:rPr>
              <w:t>城乡建设</w:t>
            </w: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r>
              <w:rPr>
                <w:rFonts w:hint="eastAsia" w:ascii="宋体" w:hAnsi="宋体" w:cs="宋体"/>
                <w:sz w:val="24"/>
                <w:szCs w:val="24"/>
              </w:rPr>
              <w:t>县内</w:t>
            </w: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r>
        <w:tblPrEx>
          <w:tblCellMar>
            <w:top w:w="0" w:type="dxa"/>
            <w:left w:w="108" w:type="dxa"/>
            <w:bottom w:w="0" w:type="dxa"/>
            <w:right w:w="108" w:type="dxa"/>
          </w:tblCellMar>
        </w:tblPrEx>
        <w:trPr>
          <w:trHeight w:val="466"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宋体" w:hAnsi="宋体" w:cs="宋体"/>
                <w:sz w:val="24"/>
                <w:szCs w:val="24"/>
                <w:lang w:val="en-US" w:eastAsia="zh-CN"/>
              </w:rPr>
            </w:pPr>
          </w:p>
        </w:tc>
        <w:tc>
          <w:tcPr>
            <w:tcW w:w="106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p>
        </w:tc>
        <w:tc>
          <w:tcPr>
            <w:tcW w:w="782"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p>
        </w:tc>
        <w:tc>
          <w:tcPr>
            <w:tcW w:w="1393"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p>
        </w:tc>
        <w:tc>
          <w:tcPr>
            <w:tcW w:w="115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p>
        </w:tc>
        <w:tc>
          <w:tcPr>
            <w:tcW w:w="170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p>
        </w:tc>
        <w:tc>
          <w:tcPr>
            <w:tcW w:w="1414"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4"/>
                <w:szCs w:val="24"/>
                <w:lang w:eastAsia="zh-CN"/>
              </w:rPr>
            </w:pPr>
          </w:p>
        </w:tc>
        <w:tc>
          <w:tcPr>
            <w:tcW w:w="94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4"/>
                <w:szCs w:val="24"/>
              </w:rPr>
            </w:pPr>
          </w:p>
        </w:tc>
        <w:tc>
          <w:tcPr>
            <w:tcW w:w="491"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4"/>
                <w:szCs w:val="24"/>
              </w:rPr>
            </w:pPr>
          </w:p>
        </w:tc>
      </w:tr>
    </w:tbl>
    <w:p>
      <w:pPr>
        <w:spacing w:line="540" w:lineRule="exact"/>
        <w:rPr>
          <w:rFonts w:ascii="Times New Roman" w:hAnsi="Times New Roman" w:cs="Times New Roman"/>
        </w:rPr>
      </w:pPr>
      <w:r>
        <w:rPr>
          <w:rFonts w:hint="eastAsia" w:ascii="宋体" w:hAnsi="宋体" w:cs="宋体"/>
          <w:sz w:val="24"/>
          <w:szCs w:val="24"/>
        </w:rPr>
        <w:t>注：分专项检查人员在备注栏注明。</w:t>
      </w:r>
      <w:r>
        <w:rPr>
          <w:rFonts w:ascii="宋体" w:hAnsi="宋体" w:cs="宋体"/>
          <w:sz w:val="24"/>
          <w:szCs w:val="24"/>
        </w:rPr>
        <w:t xml:space="preserve">               </w:t>
      </w:r>
      <w:r>
        <w:rPr>
          <w:rFonts w:hint="eastAsia" w:ascii="宋体" w:hAnsi="宋体" w:cs="宋体"/>
          <w:sz w:val="24"/>
          <w:szCs w:val="24"/>
          <w:lang w:val="en-US" w:eastAsia="zh-CN"/>
        </w:rPr>
        <w:t xml:space="preserve">           </w:t>
      </w:r>
      <w:r>
        <w:rPr>
          <w:rFonts w:ascii="宋体" w:hAnsi="宋体" w:cs="宋体"/>
          <w:sz w:val="24"/>
          <w:szCs w:val="24"/>
        </w:rPr>
        <w:t>20</w:t>
      </w:r>
      <w:r>
        <w:rPr>
          <w:rFonts w:hint="eastAsia" w:ascii="宋体" w:hAnsi="宋体" w:cs="宋体"/>
          <w:sz w:val="24"/>
          <w:szCs w:val="24"/>
          <w:lang w:val="en-US" w:eastAsia="zh-CN"/>
        </w:rPr>
        <w:t>20</w:t>
      </w:r>
      <w:r>
        <w:rPr>
          <w:rFonts w:hint="eastAsia" w:ascii="宋体" w:hAnsi="宋体" w:cs="宋体"/>
          <w:sz w:val="24"/>
          <w:szCs w:val="24"/>
        </w:rPr>
        <w:t>年</w:t>
      </w:r>
      <w:r>
        <w:rPr>
          <w:rFonts w:hint="eastAsia" w:ascii="宋体" w:hAnsi="宋体" w:cs="宋体"/>
          <w:sz w:val="24"/>
          <w:szCs w:val="24"/>
          <w:lang w:val="en-US" w:eastAsia="zh-CN"/>
        </w:rPr>
        <w:t>5</w:t>
      </w:r>
      <w:r>
        <w:rPr>
          <w:rFonts w:hint="eastAsia" w:ascii="宋体" w:hAnsi="宋体" w:cs="宋体"/>
          <w:sz w:val="24"/>
          <w:szCs w:val="24"/>
        </w:rPr>
        <w:t>月</w:t>
      </w:r>
      <w:r>
        <w:rPr>
          <w:rFonts w:hint="eastAsia" w:ascii="宋体" w:hAnsi="宋体" w:cs="宋体"/>
          <w:sz w:val="24"/>
          <w:szCs w:val="24"/>
          <w:lang w:val="en-US" w:eastAsia="zh-CN"/>
        </w:rPr>
        <w:t>28</w:t>
      </w:r>
      <w:r>
        <w:rPr>
          <w:rFonts w:hint="eastAsia" w:ascii="宋体" w:hAnsi="宋体" w:cs="宋体"/>
          <w:sz w:val="24"/>
          <w:szCs w:val="24"/>
        </w:rPr>
        <w:t>日</w:t>
      </w:r>
    </w:p>
    <w:p>
      <w:pPr>
        <w:rPr>
          <w:rFonts w:cs="Times New Roman"/>
        </w:rPr>
      </w:pPr>
    </w:p>
    <w:p>
      <w:pPr>
        <w:ind w:firstLine="642" w:firstLineChars="200"/>
        <w:rPr>
          <w:rFonts w:hint="eastAsia" w:ascii="黑体" w:hAnsi="黑体" w:eastAsia="黑体" w:cs="黑体"/>
          <w:b/>
          <w:bCs/>
          <w:sz w:val="32"/>
          <w:szCs w:val="32"/>
        </w:rPr>
      </w:pPr>
    </w:p>
    <w:p>
      <w:pPr>
        <w:ind w:firstLine="642" w:firstLineChars="200"/>
        <w:rPr>
          <w:rFonts w:ascii="黑体" w:hAnsi="黑体" w:eastAsia="黑体" w:cs="Times New Roman"/>
          <w:b/>
          <w:bCs/>
          <w:sz w:val="32"/>
          <w:szCs w:val="32"/>
        </w:rPr>
      </w:pPr>
      <w:r>
        <w:rPr>
          <w:rFonts w:hint="eastAsia" w:ascii="黑体" w:hAnsi="黑体" w:eastAsia="黑体" w:cs="黑体"/>
          <w:b/>
          <w:bCs/>
          <w:sz w:val="32"/>
          <w:szCs w:val="32"/>
        </w:rPr>
        <w:t>三、剑阁县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局行政执法权力、责任清单</w:t>
      </w:r>
    </w:p>
    <w:p>
      <w:pPr>
        <w:keepNext w:val="0"/>
        <w:keepLines w:val="0"/>
        <w:pageBreakBefore w:val="0"/>
        <w:widowControl w:val="0"/>
        <w:kinsoku/>
        <w:wordWrap/>
        <w:overflowPunct/>
        <w:topLinePunct w:val="0"/>
        <w:autoSpaceDE/>
        <w:autoSpaceDN/>
        <w:bidi w:val="0"/>
        <w:adjustRightInd/>
        <w:snapToGrid/>
        <w:spacing w:line="580" w:lineRule="exact"/>
        <w:ind w:firstLine="800" w:firstLineChars="250"/>
        <w:jc w:val="left"/>
        <w:textAlignment w:val="auto"/>
        <w:rPr>
          <w:rStyle w:val="13"/>
          <w:rFonts w:hint="eastAsia" w:ascii="仿宋" w:hAnsi="仿宋" w:eastAsia="仿宋" w:cs="仿宋"/>
          <w:color w:val="auto"/>
          <w:u w:val="single"/>
        </w:rPr>
      </w:pPr>
      <w:r>
        <w:rPr>
          <w:rFonts w:hint="eastAsia" w:ascii="仿宋" w:hAnsi="仿宋" w:eastAsia="仿宋" w:cs="仿宋"/>
          <w:sz w:val="32"/>
          <w:szCs w:val="32"/>
        </w:rPr>
        <w:t xml:space="preserve">四川政务服务网、剑阁县人民政府网（含行政执法权力及责任事项的权限、职责、服务指南、法定依据、流程图、程序） </w:t>
      </w:r>
    </w:p>
    <w:p>
      <w:pPr>
        <w:keepNext w:val="0"/>
        <w:keepLines w:val="0"/>
        <w:pageBreakBefore w:val="0"/>
        <w:widowControl w:val="0"/>
        <w:kinsoku/>
        <w:wordWrap/>
        <w:overflowPunct/>
        <w:topLinePunct w:val="0"/>
        <w:autoSpaceDE/>
        <w:autoSpaceDN/>
        <w:bidi w:val="0"/>
        <w:adjustRightInd/>
        <w:snapToGrid/>
        <w:spacing w:line="580" w:lineRule="exact"/>
        <w:ind w:firstLine="420" w:firstLineChars="200"/>
        <w:jc w:val="left"/>
        <w:textAlignment w:val="auto"/>
        <w:rPr>
          <w:rStyle w:val="13"/>
          <w:rFonts w:hint="eastAsia" w:ascii="仿宋" w:hAnsi="仿宋" w:eastAsia="仿宋" w:cs="仿宋"/>
          <w:color w:val="auto"/>
          <w:sz w:val="32"/>
          <w:szCs w:val="32"/>
        </w:rPr>
      </w:pPr>
      <w:r>
        <w:rPr>
          <w:rFonts w:hint="eastAsia" w:ascii="仿宋" w:hAnsi="仿宋" w:eastAsia="仿宋" w:cs="仿宋"/>
        </w:rPr>
        <w:fldChar w:fldCharType="begin"/>
      </w:r>
      <w:r>
        <w:rPr>
          <w:rFonts w:hint="eastAsia" w:ascii="仿宋" w:hAnsi="仿宋" w:eastAsia="仿宋" w:cs="仿宋"/>
        </w:rPr>
        <w:instrText xml:space="preserve"> HYPERLINK "http://gys.sczwfw.gov.cn/app/qixianShop/12679?areaId=408&amp;areaCode=510800000000" </w:instrText>
      </w:r>
      <w:r>
        <w:rPr>
          <w:rFonts w:hint="eastAsia" w:ascii="仿宋" w:hAnsi="仿宋" w:eastAsia="仿宋" w:cs="仿宋"/>
        </w:rPr>
        <w:fldChar w:fldCharType="separate"/>
      </w:r>
      <w:r>
        <w:rPr>
          <w:rStyle w:val="9"/>
          <w:rFonts w:hint="eastAsia" w:ascii="仿宋" w:hAnsi="仿宋" w:eastAsia="仿宋" w:cs="仿宋"/>
          <w:color w:val="auto"/>
          <w:sz w:val="32"/>
          <w:szCs w:val="32"/>
        </w:rPr>
        <w:t>http://gys.sczwfw.gov.cn/app/qixianShop/12679?areaId=408&amp;areaCode=510800000000</w:t>
      </w:r>
      <w:r>
        <w:rPr>
          <w:rStyle w:val="9"/>
          <w:rFonts w:hint="eastAsia" w:ascii="仿宋" w:hAnsi="仿宋" w:eastAsia="仿宋" w:cs="仿宋"/>
          <w:color w:val="auto"/>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jc w:val="left"/>
        <w:textAlignment w:val="auto"/>
        <w:rPr>
          <w:rStyle w:val="13"/>
          <w:rFonts w:hint="eastAsia" w:ascii="仿宋" w:hAnsi="仿宋" w:eastAsia="仿宋" w:cs="仿宋"/>
          <w:color w:val="auto"/>
          <w:sz w:val="32"/>
          <w:szCs w:val="32"/>
        </w:rPr>
      </w:pPr>
      <w:r>
        <w:rPr>
          <w:rStyle w:val="13"/>
          <w:rFonts w:hint="eastAsia" w:ascii="仿宋" w:hAnsi="仿宋" w:eastAsia="仿宋" w:cs="仿宋"/>
          <w:color w:val="auto"/>
          <w:sz w:val="32"/>
          <w:szCs w:val="32"/>
        </w:rPr>
        <w:t>https://www.baidu.com/s?word=%E5%89%91%E9%98%81%E5%8E%BF%E4%BA%BA%E6%B0%91%E6%94%BF%E5%BA%9C%E7%BD%91&amp;tn=site888_3_pg&amp;lm=-1&amp;ssl_s=1&amp;ssl_c=ssl1_1724fcc15b6</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 w:hAnsi="仿宋" w:eastAsia="仿宋" w:cs="仿宋"/>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sectPr>
          <w:pgSz w:w="11906" w:h="16838"/>
          <w:pgMar w:top="1928" w:right="1474" w:bottom="1531" w:left="1474" w:header="851" w:footer="1587" w:gutter="0"/>
          <w:pgBorders>
            <w:top w:val="none" w:sz="0" w:space="0"/>
            <w:left w:val="none" w:sz="0" w:space="0"/>
            <w:bottom w:val="none" w:sz="0" w:space="0"/>
            <w:right w:val="none" w:sz="0" w:space="0"/>
          </w:pgBorders>
          <w:cols w:space="0" w:num="1"/>
          <w:rtlGutter w:val="0"/>
          <w:docGrid w:type="lines" w:linePitch="312" w:charSpace="0"/>
        </w:sectPr>
      </w:pPr>
    </w:p>
    <w:p>
      <w:pPr>
        <w:numPr>
          <w:ilvl w:val="0"/>
          <w:numId w:val="1"/>
        </w:numPr>
        <w:ind w:firstLine="642" w:firstLineChars="200"/>
        <w:rPr>
          <w:rFonts w:ascii="黑体" w:hAnsi="黑体" w:eastAsia="黑体" w:cs="Times New Roman"/>
          <w:b/>
          <w:bCs/>
          <w:sz w:val="32"/>
          <w:szCs w:val="32"/>
        </w:rPr>
      </w:pPr>
      <w:r>
        <w:rPr>
          <w:rFonts w:hint="eastAsia" w:ascii="黑体" w:hAnsi="黑体" w:eastAsia="黑体" w:cs="黑体"/>
          <w:b/>
          <w:bCs/>
          <w:sz w:val="32"/>
          <w:szCs w:val="32"/>
        </w:rPr>
        <w:t>剑阁县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局重大行政执法</w:t>
      </w:r>
      <w:r>
        <w:rPr>
          <w:rFonts w:hint="eastAsia" w:ascii="黑体" w:hAnsi="黑体" w:eastAsia="黑体" w:cs="黑体"/>
          <w:b/>
          <w:bCs/>
          <w:sz w:val="32"/>
          <w:szCs w:val="32"/>
          <w:lang w:eastAsia="zh-CN"/>
        </w:rPr>
        <w:t>责任</w:t>
      </w:r>
      <w:r>
        <w:rPr>
          <w:rFonts w:hint="eastAsia" w:ascii="黑体" w:hAnsi="黑体" w:eastAsia="黑体" w:cs="黑体"/>
          <w:b/>
          <w:bCs/>
          <w:sz w:val="32"/>
          <w:szCs w:val="32"/>
        </w:rPr>
        <w:t>清单</w:t>
      </w:r>
    </w:p>
    <w:tbl>
      <w:tblPr>
        <w:tblStyle w:val="5"/>
        <w:tblW w:w="146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973"/>
        <w:gridCol w:w="5906"/>
        <w:gridCol w:w="1221"/>
        <w:gridCol w:w="1133"/>
        <w:gridCol w:w="1000"/>
        <w:gridCol w:w="1033"/>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序号</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事项编码</w:t>
            </w:r>
          </w:p>
        </w:tc>
        <w:tc>
          <w:tcPr>
            <w:tcW w:w="5906"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事项名称</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行使层级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事项</w:t>
            </w:r>
            <w:r>
              <w:rPr>
                <w:rFonts w:hint="eastAsia" w:ascii="宋体" w:hAnsi="宋体" w:cs="宋体"/>
                <w:b/>
                <w:bCs/>
                <w:sz w:val="20"/>
                <w:szCs w:val="20"/>
                <w:lang w:val="en-US" w:eastAsia="zh-CN"/>
              </w:rPr>
              <w:t xml:space="preserve">  </w:t>
            </w:r>
            <w:r>
              <w:rPr>
                <w:rFonts w:hint="eastAsia" w:ascii="宋体" w:hAnsi="宋体" w:cs="宋体"/>
                <w:b/>
                <w:bCs/>
                <w:sz w:val="20"/>
                <w:szCs w:val="20"/>
              </w:rPr>
              <w:t>类型</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事项</w:t>
            </w:r>
            <w:r>
              <w:rPr>
                <w:rFonts w:hint="eastAsia" w:ascii="宋体" w:hAnsi="宋体" w:cs="宋体"/>
                <w:b/>
                <w:bCs/>
                <w:sz w:val="20"/>
                <w:szCs w:val="20"/>
                <w:lang w:val="en-US" w:eastAsia="zh-CN"/>
              </w:rPr>
              <w:t xml:space="preserve">  </w:t>
            </w:r>
            <w:r>
              <w:rPr>
                <w:rFonts w:hint="eastAsia" w:ascii="宋体" w:hAnsi="宋体" w:cs="宋体"/>
                <w:b/>
                <w:bCs/>
                <w:sz w:val="20"/>
                <w:szCs w:val="20"/>
              </w:rPr>
              <w:t>行业</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事项</w:t>
            </w:r>
            <w:r>
              <w:rPr>
                <w:rFonts w:hint="eastAsia" w:ascii="宋体" w:hAnsi="宋体" w:cs="宋体"/>
                <w:b/>
                <w:bCs/>
                <w:sz w:val="20"/>
                <w:szCs w:val="20"/>
                <w:lang w:val="en-US" w:eastAsia="zh-CN"/>
              </w:rPr>
              <w:t xml:space="preserve">  </w:t>
            </w:r>
            <w:r>
              <w:rPr>
                <w:rFonts w:hint="eastAsia" w:ascii="宋体" w:hAnsi="宋体" w:cs="宋体"/>
                <w:b/>
                <w:bCs/>
                <w:sz w:val="20"/>
                <w:szCs w:val="20"/>
              </w:rPr>
              <w:t>状态</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b/>
                <w:bCs/>
                <w:sz w:val="20"/>
                <w:szCs w:val="20"/>
              </w:rPr>
            </w:pPr>
            <w:r>
              <w:rPr>
                <w:rFonts w:hint="eastAsia" w:ascii="宋体" w:hAnsi="宋体" w:cs="宋体"/>
                <w:b/>
                <w:bCs/>
                <w:sz w:val="20"/>
                <w:szCs w:val="20"/>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1613</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勘测、设计、施工、监理单位未取得相应资质或者超越资质等级许可范围承揽城市供水设施建设工程勘测、设计、施工、监理任务的或者违反国家和省相关技术标准和规范进行城市供水设施建设工程勘测、设计、施工、监理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2</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1615</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对建设单位新建、改建、扩建的城市供水管道在投入使用或者与城市供水管网系统连接通水前未进行清洗消毒责令限期改正，拒不改正的处罚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3</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1616</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对建设单位擅自新建公共供水工程或者自建设施供水的处罚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4</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1617</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对建设单位供水工程竣工后未按照规定验收或者经验收不合格仍投入使用责令限期改正，拒不改正的处罚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5</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1618</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对设计、建设单位不按照水表出户的要求进行设计和建设的处罚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6</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1620</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对建设单位将不符合饮用水标准的供水管网与城市供水管网连接的处罚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7</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1621</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对建设单位擅自改装、迁移或者拆除原水供水、公共供水设施的处罚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8</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1622</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对建设单位未及时通知供水企业修复损坏的城市供水设施的处罚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9</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1623</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对建设单位未配套建设节约用水设施的处罚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10</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1624</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市供水企业新建、改建、扩建的城市供水管道在投入使用或者与城市供水管网系统连接通水前未进行清洗消毒的；使用不符合标准的供水设施、设备、器具、管材和化学净水剂、消毒剂的；未按照计划更换、检修供水设施或者在供水设施发生故障或者管道爆裂后未及时组织抢修以及未履行停水通知义务的；考核不合格，拒不整改，非法运营的；违反管理规定的；使用未取得职业资格证上岗作业员工的；拒绝向符合条件的单位和个人提供城市供水的，或者向不符合供水条件的单位和个人提供城市供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11</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1625</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对单位和个人在城市供水安全保护区内从事禁止性活动的处罚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12</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1626</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对单位和个人擅自通过新闻媒体、网络、手机短信、公开信等方式发布城市供水水质情况的处罚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13</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1627</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对单位和个人在城市供水管道安全保护范围内从事禁止性活动的处罚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14</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1628</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对单位和个人阻挠或者干扰供水设施抢修工作的处罚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15</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1629</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对用户未依法办理分户、移表、增容、变更结算水表手续责令改正，拒不改正的处罚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16</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1631</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对单位和个人对结算水表磁卡非法充值的处罚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ascii="宋体" w:hAnsi="宋体" w:cs="宋体"/>
                <w:sz w:val="20"/>
                <w:szCs w:val="20"/>
              </w:rPr>
              <w:t>17</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1632</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对单位和个人擅自操作城市供水公用供水阀门或者违反规定使用公共消防设施和市政设施取水的处罚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18</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1633</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对单位和个人擅自安装、改装、拆除、损坏结算水表或者干扰结算水表正常计量的处罚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19</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1634</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对单位和个人盗用或者转供城市供水的处罚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20</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1635</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对单位和个人擅自改变用水性质和范围的处罚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21</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1636</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对单位和个人擅自在公共供水管道上装泵抽水的处罚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22</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1637</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对单位和个人在结算水表后装泵的处罚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23</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1638</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市自来水供水企业和自建设施对外供水的企业新建、改建、扩建的饮用水供水工程项目未经建设行政主管部门设计审查和竣工验收而擅自建设并投入使用的；未按规定进行日常性水质检验工作的；未取得《城市供水企业资质证书》擅自供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24</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1639</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对城市供水单位未制定城市供水水质突发事件应急预案的、未按规定上报水质报表的处罚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25</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1640</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对排水户未取得污水排入排水管网许可证向城镇排水设施排放污水的处罚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26</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1641</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对排水户不按照污水排入排水管网许可证的要求排放污水的处罚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27</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1642</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color w:val="000000" w:themeColor="text1"/>
                <w:sz w:val="20"/>
                <w:szCs w:val="20"/>
                <w14:textFill>
                  <w14:solidFill>
                    <w14:schemeClr w14:val="tx1"/>
                  </w14:solidFill>
                </w14:textFill>
              </w:rPr>
            </w:pPr>
            <w:r>
              <w:rPr>
                <w:rFonts w:hint="eastAsia" w:ascii="宋体" w:cs="宋体"/>
                <w:color w:val="000000" w:themeColor="text1"/>
                <w:sz w:val="20"/>
                <w:szCs w:val="20"/>
                <w14:textFill>
                  <w14:solidFill>
                    <w14:schemeClr w14:val="tx1"/>
                  </w14:solidFill>
                </w14:textFill>
              </w:rPr>
              <w:t>对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28</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1643</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对城镇污水处理设施维护运营单位未按照国家有关规定检测进出水水质的，或者未报送污水处理水质和水量、主要污染物削减量等信息和生产运营成本等信息的处罚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29</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1644</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对城镇污水处理设施维护运营单位擅自停运城镇污水处理设施，未按照规定事先报告或者采取应急处理措施的处罚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30</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1645</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对城镇污水处理设施维护运营单位擅自停运城镇污水处理设施，未按照规定事先报告或者采取应急处理措施的处罚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cs="宋体"/>
                <w:sz w:val="20"/>
                <w:szCs w:val="20"/>
              </w:rPr>
            </w:pPr>
            <w:r>
              <w:rPr>
                <w:rFonts w:hint="eastAsia" w:ascii="宋体" w:hAnsi="宋体" w:cs="宋体"/>
                <w:sz w:val="20"/>
                <w:szCs w:val="20"/>
              </w:rPr>
              <w:t>31</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cs="宋体"/>
                <w:sz w:val="20"/>
                <w:szCs w:val="20"/>
              </w:rPr>
            </w:pPr>
            <w:r>
              <w:rPr>
                <w:rFonts w:hint="eastAsia" w:ascii="宋体" w:hAnsi="宋体" w:cs="宋体"/>
                <w:sz w:val="20"/>
                <w:szCs w:val="20"/>
              </w:rPr>
              <w:t>1646</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hint="eastAsia" w:ascii="宋体" w:cs="宋体"/>
                <w:sz w:val="20"/>
                <w:szCs w:val="20"/>
              </w:rPr>
            </w:pPr>
            <w:r>
              <w:rPr>
                <w:rFonts w:hint="eastAsia" w:ascii="宋体" w:cs="宋体"/>
                <w:sz w:val="20"/>
                <w:szCs w:val="20"/>
              </w:rPr>
              <w:t>对擅自倾倒、堆放、丢弃、遗撒污泥的处罚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32</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1647</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对排水单位或者个人不缴纳污水处理费的处罚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33</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1648</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镇排水与污水处理设施维护运营单位未按照国家有关规定履行日常巡查、维修和养护责任，保障设施安全运行的；未及时采取防护措施、组织事故抢修的；因巡查、维护不到位，导致窨井盖丢失、损毁，造成人员伤亡和财产损失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34</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1649</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对从事危及城镇排水与污水处理设施安全的活动的处罚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35</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1650</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对有关单位未与施工单位、设施维护运营单位等共同制定设施保护方案，并采取相应的安全防护措施的处罚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cs="宋体"/>
                <w:sz w:val="20"/>
                <w:szCs w:val="20"/>
              </w:rPr>
            </w:pPr>
            <w:r>
              <w:rPr>
                <w:rFonts w:hint="eastAsia" w:ascii="宋体" w:hAnsi="宋体" w:cs="宋体"/>
                <w:sz w:val="20"/>
                <w:szCs w:val="20"/>
              </w:rPr>
              <w:t>36</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cs="宋体"/>
                <w:sz w:val="20"/>
                <w:szCs w:val="20"/>
              </w:rPr>
            </w:pPr>
            <w:r>
              <w:rPr>
                <w:rFonts w:hint="eastAsia" w:ascii="宋体" w:hAnsi="宋体" w:cs="宋体"/>
                <w:sz w:val="20"/>
                <w:szCs w:val="20"/>
              </w:rPr>
              <w:t>1651</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hint="eastAsia" w:ascii="宋体" w:cs="宋体"/>
                <w:sz w:val="20"/>
                <w:szCs w:val="20"/>
              </w:rPr>
            </w:pPr>
            <w:r>
              <w:rPr>
                <w:rFonts w:hint="eastAsia" w:ascii="宋体" w:cs="宋体"/>
                <w:sz w:val="20"/>
                <w:szCs w:val="20"/>
              </w:rPr>
              <w:t>对擅自拆除、改动城镇排水与污水处理设施的处罚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37</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1652</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对将污水管与雨水管连接的处罚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38</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1653</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对在城市排水设施覆盖的区域内将污水直接排入水体的处罚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39</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1654</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对未经考核合格进行营运的处罚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40</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1655</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对城市污水处理企业排放未经处理的污水的；擅自停用污泥处理设施或将污泥随意弃置造成二次污染的处罚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41</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1656</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对城市污水处理企业虚报、瞒报、拒报、迟报、漏报规定的各项资料的处罚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42</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1657</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对自备水源用户拒绝交纳污水处理费的处罚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43</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1658</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对任何单位和个人向城市排水设施内倾倒垃圾、渣土、泥浆、沙浆、混凝土浆等易堵塞物，无法恢复原状的处罚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44</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1659</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对任何单位和个人在城市排水设施安全防护范围内修建建筑物、构筑物，在雨水口汇水面积区设障或堆放物品的处罚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45</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1660</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对任何单位和个人偷盗、损毁、穿凿或擅自拆卸、移动、占压城市排水设施的处罚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46</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1661</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对在城镇排水与污水处理设施覆盖范围内，未按照国家有关规定将污水排入城镇排水设施，或者在雨水、污水分流地区将污水排入雨水管网的处罚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47</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1662</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对排水户名称、法定代表人等其他事项变更，未按规定及时向城镇排水主管部门申请办理变更的处罚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48</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1663</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对排水户以欺骗、贿赂等不正当手段取得排水许可的处罚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49</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1664</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对排水户因发生事故或者其他突发事件，排放的污水可能危及城镇排水与污水处理设施安全运行，没有立即停止排放，未采取措施消除危害，或者并未按规定及时向城镇排水主管部门等有关部门报告的处罚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50</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1665</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对从事危及城镇排水设施安全的活动的处罚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51</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1666</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对拒不接受水质、水量监测或者妨碍、阻挠城镇排水主管部门依法监督检查的处罚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52</w:t>
            </w:r>
          </w:p>
        </w:tc>
        <w:tc>
          <w:tcPr>
            <w:tcW w:w="97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1682</w:t>
            </w:r>
          </w:p>
        </w:tc>
        <w:tc>
          <w:tcPr>
            <w:tcW w:w="5906" w:type="dxa"/>
            <w:vAlign w:val="center"/>
          </w:tcPr>
          <w:p>
            <w:pPr>
              <w:keepNext w:val="0"/>
              <w:keepLines w:val="0"/>
              <w:pageBreakBefore w:val="0"/>
              <w:kinsoku/>
              <w:wordWrap/>
              <w:overflowPunct/>
              <w:topLinePunct w:val="0"/>
              <w:autoSpaceDE/>
              <w:autoSpaceDN/>
              <w:bidi w:val="0"/>
              <w:adjustRightInd/>
              <w:snapToGrid/>
              <w:spacing w:line="320" w:lineRule="exact"/>
              <w:jc w:val="left"/>
              <w:rPr>
                <w:rFonts w:ascii="宋体" w:cs="宋体"/>
                <w:sz w:val="20"/>
                <w:szCs w:val="20"/>
              </w:rPr>
            </w:pPr>
            <w:r>
              <w:rPr>
                <w:rFonts w:hint="eastAsia" w:ascii="宋体" w:cs="宋体"/>
                <w:sz w:val="20"/>
                <w:szCs w:val="20"/>
              </w:rPr>
              <w:t>对排水户违反《城镇污水排入排水管网许可管理办法》规定，拒不接受水质、水量监测或者妨碍、阻挠城镇排水主管部门依法监督检查的处罚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hAnsi="宋体" w:cs="宋体"/>
                <w:sz w:val="20"/>
                <w:szCs w:val="20"/>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sz w:val="20"/>
                <w:szCs w:val="20"/>
              </w:rPr>
            </w:pPr>
            <w:r>
              <w:rPr>
                <w:rFonts w:hint="eastAsia" w:ascii="宋体" w:cs="宋体"/>
                <w:sz w:val="20"/>
                <w:szCs w:val="20"/>
              </w:rPr>
              <w:t>供排水</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ascii="宋体" w:cs="宋体"/>
                <w:sz w:val="20"/>
                <w:szCs w:val="20"/>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53</w:t>
            </w:r>
          </w:p>
        </w:tc>
        <w:tc>
          <w:tcPr>
            <w:tcW w:w="973" w:type="dxa"/>
            <w:noWrap/>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1353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对建设单位未组织竣工验收，擅自交付使用的处罚；擅自将验收不合格的工程交付使用的处罚；将不合格建设工程按照合格工程验收的处罚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54</w:t>
            </w:r>
          </w:p>
        </w:tc>
        <w:tc>
          <w:tcPr>
            <w:tcW w:w="973" w:type="dxa"/>
            <w:noWrap/>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1361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对施工单位未对建筑材料、建筑构配件、设备和商品混凝土进行检验，或者未对涉及结构安全的试块、试件以及有关材料取样检测的处罚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0"/>
                <w:szCs w:val="20"/>
                <w:lang w:eastAsia="zh-CN"/>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55</w:t>
            </w:r>
          </w:p>
        </w:tc>
        <w:tc>
          <w:tcPr>
            <w:tcW w:w="973" w:type="dxa"/>
            <w:noWrap/>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1362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对建筑业企业未依法履行工程质量保修义务或者拖延履行保修义务，造成严重后果的处罚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0"/>
                <w:szCs w:val="20"/>
                <w:lang w:eastAsia="zh-CN"/>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56</w:t>
            </w:r>
          </w:p>
        </w:tc>
        <w:tc>
          <w:tcPr>
            <w:tcW w:w="973" w:type="dxa"/>
            <w:noWrap/>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1363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对工程监理单位与建设单位或者建筑施工企业串通，弄虚作假、降低工程质量的处罚、将不合格的建设工程、建筑材料、建筑构配件和设备按照合格签字的处罚</w:t>
            </w:r>
          </w:p>
        </w:tc>
        <w:tc>
          <w:tcPr>
            <w:tcW w:w="12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noWrap/>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0"/>
                <w:szCs w:val="20"/>
                <w:lang w:eastAsia="zh-CN"/>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1364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对涉及建筑主体或者承重结构变动的装修工程没有设计方案擅自施工的处罚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58</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1368</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对建设单位对不符合民用建筑节能强制性标准的民用建筑项目出具竣工验收合格报告的处罚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59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1370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对施工单位未按照民用建筑节能强制性标准进行施工的处罚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1371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对进入施工现场的墙体材料、保温材料、门窗、采暖制冷系统和照明设备进行查验的处罚，使用不符合施工图设计文件要求的墙体材料、保温材料、门窗、采暖制冷系统和照明设备的处罚，使用列入禁止使用目录的技术、工艺、材料和设备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61</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1372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工程监理单位未按照民用建筑节能强制性标准实施监理的处罚，在墙体、屋面的保温工程施工时，未采取旁站、巡视和平行检验等形式实施监理的处罚，不符合施工图设计文件要求的墙体材料、保温材料、门窗、采暖制冷系统和照明设备，按照符合施工图设计文件要求签字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62</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1373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对建设单位未提供建设工程安全生产作业环境及安全施工措施所需费用的处罚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63</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1374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对建设单位未将保证安全施工措施或者拆除工程的有关资料报送有关部门备案的处罚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64</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1387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对施工单位未按照节能设计进行施工的处罚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65</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1390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对未对抗震能力受损、荷载增加或者需提高抗震设防类别的房屋建筑工程进行抗震验算、修复和加固的处罚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66</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1391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对经鉴定需抗震加固的房屋建筑工程在进行装修改造时未进行抗震加固的处罚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1397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理单位未审核建筑起重机械特种设备制造许可证、产品合格证、制造监督检验证明、备案证明等文件的处罚；未审核建筑起重机械安装单位、使用单位的资质证书、安全生产许可证和特种作业人员的特种作业操作资格证书的处罚；未监督安装单位执行建筑起重机械安装、拆卸工程专项施工方案情况的处罚；未监督检查建筑起重机械的使用情况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68</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1398</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对建设单位未按照规定协调组织制定防止多台塔式起重机相互碰撞的安全措施的处罚；接到监理单位报告后，未责令安装单位、使用单位立即停工整改的处罚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69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1404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对未取得相应的资质擅自承担《建设工程质量检测办法》规定的检测业务的处罚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1405</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工程质量检测机构超出资质范围从事检测活动的处罚；涂改、倒卖、出租、出借、转让资质证书的处罚；使用不符合条件的检测人员的处罚；未按规定上报发现的违法违规行为和检测不合格事项的处罚；未按规定在检测报告上签字盖章的处罚；未按照国家有关工程建设强制性标准进行检测的处罚；档案资料管理混乱，造成检测数据无法追溯的处罚；转包检测业务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71</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1406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对建设工程质量检测机构伪造检测数据，出具虚假检测报告或者鉴定结论的处罚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72</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1407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对建设工程质量检测委托方委托未取得相应资质的检测机构进行检测的处罚；明示或暗示检测机构出具虚假检测报告，篡改或伪造检测报告的处罚；弄虚作假送检试样的处罚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73</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1409</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对工程监理企业在监理过程中实施商业贿赂行为的处罚；涂改、伪造、出借、转让工程监理企业资质证书的处罚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74</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1415</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对工程监理单位与被监理工程的施工承包单位以及建筑材料、建筑构配件和设备供应单位有隶属关系或者其他利害关系承担该项建设工程的监理业务的处罚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75</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1421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对注册监理工程师泄露执业中应当保守的秘密并造成严重后果的处罚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76</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1422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对注册监理工程师弄虚作假提供执业活动成果的处罚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1427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对建筑施工企业在施工中偷工减料，使用不合格的建筑材料、建筑构配件和设备，或者有其他不按照工程设计图纸或者施工技术标准施工行为的处罚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78</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对为建设工程提供机械设备和配件的单位未按照安全施工的要求配备齐全有效的保险、限位等安全设施和装置的处罚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79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对出租单位出租未经安全性能检测或者经检测不合格的机械设备和施工机具及配件的处罚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起重机械和整体提升脚手架、模板等自升式架设设施安装、拆卸单位未编制拆装方案、制定安全施工措施的处罚；未由专业技术人员现场监督的处罚；未出具自检合格证明或者出具虚假证明的处罚；未向施工单位进行安全使用说明，办理移交手续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81</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设立安全生产管理机构、配备专职安全生产管理人员或者分部分项工程施工时无专职安全生产管理人员现场监督的处罚；施工单位的主要负责人、项目负责人、专职安全生产管理人员、作业人员或者特种作业人员，未经安全教育培训或者经考核不合格即从事相关工作的处罚；未在施工现场的危险部位设置明显的安全警示标志，或者未按照国家有关规定在施工现场设置消防通道、消防水源、配备消防设施和灭火器材的处罚；未向作业人员提供安全防护用具和安全防护服装的处罚；未按照规定在施工起重机械和整体提升脚手架、模板等自升式架设设施验收合格后登记的处罚；使用国家明令淘汰、禁止使用的危及施工安全的工艺、设备、材料涉及资质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82</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对施工单位挪用列入建设工程概算的安全生产作业环境及安全施工措施所需费用的处罚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83</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1435</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在施工前未对有关安全施工的技术要求作出详细说明的处罚；未根据不同施工阶段和周围环境及季节、气候的变化，在施工现场采取相应的安全施工措施，或者在城市市区内的建设工程的施工现场未实行封闭围挡的处罚；在尚未竣工的建筑物内设置员工集体宿舍的处罚；在施工现场临时搭建的建筑物不符合安全使用要求的处罚；未对因建设工程施工可能造成损害的毗邻建筑物、构筑物和地下管线等采取专项防护措施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84</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安全防护用具、机械设备、施工机具及配件在进入施工现场前施工单位未经查验或者查验不合格即投入使用的处罚；使用未经验收或者验收不合格的施工起重机械和整体提升脚手架、模板等自升式架设设施的处罚；委托不具有相应资质的单位承担施工现场安装、拆卸施工起重机械和整体提升脚手架、模板等自升式架设设施的处罚；在施工组织设计中未编制安全技术措施、施工现场临时用电方案或者专项施工方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85</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1437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对施工单位的主要负责人、项目负责人未履行安全生产管理职责的处罚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86</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对建筑施工企业发生过较大生产安全事故或者发生过两起以上一般生产安全事故的处罚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对建筑业企业隐瞒或谎报、拖延报告工程质量安全事故或破坏事故现场、阻碍对事故调查的处罚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88</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对装饰装修企业违反国家有关安全生产规定和安全生产技术规程，不按照规定采取必要的安全防护和消防措施，擅自动用明火作业和进行焊接作业的处罚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89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对建筑起重机械出租单位、自购使用单位未按照规定办理备案的处罚；未按照规定办理报废注销手续的处罚；未按照规定建立建筑起重机械安全技术档案的处罚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1445</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起重机械安装单位未按照安全技术标准及安装使用说明书等检查建筑起重机械及现场施工条件的处罚；未制定建筑起重机械安装、拆卸工程生产安全事故应急救援预案的处罚；未将建筑起重机械安装、拆卸工程专项施工方案，安装、拆卸人员名单，安装、拆卸时间等材料报施工总承包单位和监理单位审核后，告知工程所在地县级以上地方人民政府建设主管部门的处罚；未按照规定建立建筑起重机械安装、拆卸工程档案的处罚；未按照建筑起重机械安装、拆卸工程专项施工方案及安全操作规程组织安装、拆卸作业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cs="宋体"/>
                <w:sz w:val="20"/>
                <w:szCs w:val="20"/>
                <w:lang w:val="en-US" w:eastAsia="zh-CN"/>
              </w:rPr>
            </w:pPr>
            <w:r>
              <w:rPr>
                <w:rFonts w:hint="eastAsia" w:ascii="宋体" w:hAnsi="宋体" w:cs="宋体"/>
                <w:sz w:val="20"/>
                <w:szCs w:val="20"/>
                <w:lang w:val="en-US" w:eastAsia="zh-CN"/>
              </w:rPr>
              <w:t>91</w:t>
            </w:r>
          </w:p>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cs="宋体"/>
                <w:sz w:val="20"/>
                <w:szCs w:val="20"/>
                <w:lang w:val="en-US" w:eastAsia="zh-CN"/>
              </w:rPr>
            </w:pP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起重机械使用单位未根据不同施工阶段、周围环境以及季节、气候的变化，对建筑起重机械采取相应的安全防护措施的处罚；未制定建筑起重机械生产安全事故应急救援预案的处罚；未设置相应的设备管理机构或者配备专职的设备管理人员的处罚；建筑起重机械出现故障或者发生异常情况，使用单位未立即停止使用，消除故障和事故隐患后再重新投入使用的处罚；未指定专职设备管理人员进行现场监督检查的处罚；擅自在建筑起重机械上安装非原制造厂制造的标准节和附着装置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92</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1447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总承包单位未向安装单位提供拟安装设备位置的基础施工资料，确保建筑起重机械进场安装、拆卸所需的施工条件的处罚；未审核安装单位、使用单位的资质证书、安全生产许可证和特种作业人员的特种作业操作资格证书的处罚；未审核安装单位制定的建筑起重机械安装、拆卸工程专项施工方案和生产安全事故应急救援预案的处罚；未审核使用单位制定的建筑起重机械生产安全事故应急救援预案的处罚；在施工现场有多台塔式起重机作业时，未组织制定并实施防止塔式起重机相互碰撞的安全措施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93</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1461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对监理企业扣押监理工程师的执业证书的处罚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94</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1462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对监理企业未进驻施工现场的处罚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95</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1463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对监理企业发现工程设计不符合建设工程质量标准、设计规范或合同约定的质量要求，未报告建设单位的处罚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96</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1464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对承包单位拒绝向监理企业提供必要的资料，或擅自将建筑材料、建筑构配件和设备在工程上使用或安装，或擅自进行下一道工序施工的处罚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1466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对注册建筑师、注册结构工程师、监理工程师等注册执业人员因过错造成建筑节能工程质量事故的处罚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98</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1469</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对施工单位在保温隔热工程隐蔽前，未经监理工程师签字进行下一道工序施工的处罚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99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1470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对建筑物所有人、使用人或者装饰装修企业损坏原有围护结构和节能材料、设施设备，影响公共利益和他人合法权益的处罚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1471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对装饰装修企业擅自动用明火作业和进行焊接作业或者对建筑安全事故隐患不采取措施予以消除的处罚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101</w:t>
            </w:r>
          </w:p>
        </w:tc>
        <w:tc>
          <w:tcPr>
            <w:tcW w:w="973" w:type="dxa"/>
            <w:vAlign w:val="center"/>
          </w:tcPr>
          <w:p>
            <w:pPr>
              <w:jc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1472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对无证或者超越资质等级从事建筑工程装饰装修的处罚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102</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1473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对擅自修改施工图设计文件并影响房屋结构安全的处罚、违反装饰装修的质量标准、施工和安全等强制性规范的处罚、拆改建筑主体结构、承重结构或者明显加大荷载的处罚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103</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1530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对建设单位在工程竣工验收合格之日起15日内未办理工程竣工验收备案的处罚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104</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1531</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对建设单位将备案机关决定重新组织竣工验收的工程，在重新组织竣工验收前，擅自使用的处罚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105</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1532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对工程竣工验收后，施工单位不向建设单位出具质量保修书的处罚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106</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1533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对质量保修的内容、期限违反规定的处罚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1545</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对“安管人员”涂改、倒卖、出租、出借或者以其他形式非法转让安全生产考核合格证书的处罚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108</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1546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对建筑施工企业未按规定开展“安管人员”安全生产教育培训考核，或者未按规定如实将考核情况记入安全生产教育培训档案的处罚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1547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对未按规定设立安全生产管理机构的、未按规定配备专职安全生产管理人员的、危险性较大的分部分项工程施工时未安排专职安全生产管理人员现场监督的、“安管人员”未取得安全生产考核合格证书的处罚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1548</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对“安管人员”未按规定办理证书变更的处罚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111</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1549</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对主要负责人、项目负责人未按规定履行安全生产管理职责的处罚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112</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1550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对专职安全生产管理人员未按规定履行安全生产管理职责的处罚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113</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1696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对违反《大气污染防治法》规定，拒不执行停止工地土石方作业或者建筑物拆除施工等重污染天气应急措施的处罚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114</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1697</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建设单位未按照规定提供工程周边环境等资料的；未按照规定在招标文件中列出危大工程清单的；未按照施工合同约定及时支付危大工程施工技术措施费或者相应的安全防护文明施工措施费的；未按照规定委托具有相应勘察资质的单位进行第三方监测的；未对第三方监测单位报告的异常情况组织采取处置措施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115</w:t>
            </w:r>
          </w:p>
        </w:tc>
        <w:tc>
          <w:tcPr>
            <w:tcW w:w="973" w:type="dxa"/>
            <w:vAlign w:val="center"/>
          </w:tcPr>
          <w:p>
            <w:pPr>
              <w:jc w:val="center"/>
              <w:rPr>
                <w:rFonts w:hint="eastAsia" w:ascii="宋体" w:hAnsi="宋体" w:eastAsia="宋体" w:cs="宋体"/>
                <w:i w:val="0"/>
                <w:color w:val="FF0000"/>
                <w:kern w:val="2"/>
                <w:sz w:val="22"/>
                <w:szCs w:val="22"/>
                <w:u w:val="none"/>
                <w:lang w:val="en-US" w:eastAsia="zh-CN" w:bidi="ar-SA"/>
              </w:rPr>
            </w:pPr>
            <w:r>
              <w:rPr>
                <w:rFonts w:hint="eastAsia" w:ascii="宋体" w:hAnsi="宋体" w:cs="宋体"/>
                <w:i w:val="0"/>
                <w:color w:val="000000"/>
                <w:sz w:val="22"/>
                <w:szCs w:val="22"/>
                <w:u w:val="none"/>
                <w:lang w:val="en-US" w:eastAsia="zh-CN"/>
              </w:rPr>
              <w:t>1700</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对施工单位未按照规定编制并审核危大工程专项施工方案的处罚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116</w:t>
            </w:r>
          </w:p>
        </w:tc>
        <w:tc>
          <w:tcPr>
            <w:tcW w:w="973" w:type="dxa"/>
            <w:vAlign w:val="center"/>
          </w:tcPr>
          <w:p>
            <w:pPr>
              <w:jc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1701</w:t>
            </w:r>
          </w:p>
        </w:tc>
        <w:tc>
          <w:tcPr>
            <w:tcW w:w="5906" w:type="dxa"/>
            <w:vAlign w:val="center"/>
          </w:tcPr>
          <w:p>
            <w:pPr>
              <w:jc w:val="cente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对施工单位未向施工现场管理人员和作业人员进行方案交底和安全技术交底的；未在施工现场显著位置公告危大工程，并在危险区域设置安全警示标志的；项目专职安全生产管理人员未对专项施工方案实施情况进行现场监督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117</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1702</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未对超过一定规模的危大工程专项施工方案进行专家论证的；未根据专家论证报告对超过一定规模的危大工程专项施工方案进行修改，或者未按规定重新组织专家论证的；未严格按照专项施工方案组织施工，或者擅自修改专项施工方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1185</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1703</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施工单位项目负责人未按照《危险性较大的分部分项工程安全管理规定》现场履职或者组织限期整改的；施工单位未按照《危险性较大的分部分项工程安全管理规定》进行施工监测和安全巡视的；未按照《危险性较大的分部分项工程安全管理规定》组织危大工程验收的；发生险情或者事故时，未采取应急处置措施的；未按照《危险性较大的分部分项工程安全管理规定》建立危大工程安全管理档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119</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1704</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理单位总监理工程师未按照《危险性较大的分部分项工程安全管理规定》审查危大工程专项施工方案的；发现施工单位未按照专项施工方案实施，未要求其整改或者停工的；施工单位拒不整改或者不停止施工时，未向建设单位和工程所在地住房城乡建设主管部门报告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120</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1705</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理单位未按照《危险性较大的分部分项工程安全管理规定》编制监理实施细则的；未对危大工程施工实施专项巡视检查的；未按照《危险性较大的分部分项工程安全管理规定》参与组织危大工程验收的；未按照《危险性较大的分部分项工程安全管理规定》建立危大工程安全管理档案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剑阁县住房和城乡建设局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89"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121</w:t>
            </w:r>
          </w:p>
        </w:tc>
        <w:tc>
          <w:tcPr>
            <w:tcW w:w="973" w:type="dxa"/>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sz w:val="22"/>
                <w:szCs w:val="22"/>
                <w:u w:val="none"/>
                <w:lang w:val="en-US" w:eastAsia="zh-CN"/>
              </w:rPr>
              <w:t>1706</w:t>
            </w:r>
          </w:p>
        </w:tc>
        <w:tc>
          <w:tcPr>
            <w:tcW w:w="590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对监测单位未取得相应勘察资质从事第三方监测的；未按照现场履职或者组织限期整改的；施工单位未按照《危险性较大的分部分项工程安全管理规定》编制监测方案的；未按照监测方案开展监测的；发现异常未及时报告的处罚</w:t>
            </w:r>
          </w:p>
        </w:tc>
        <w:tc>
          <w:tcPr>
            <w:tcW w:w="12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2"/>
                <w:sz w:val="20"/>
                <w:szCs w:val="20"/>
                <w:lang w:val="en-US" w:eastAsia="zh-CN" w:bidi="ar-SA"/>
              </w:rPr>
            </w:pPr>
            <w:r>
              <w:rPr>
                <w:rFonts w:hint="eastAsia" w:ascii="宋体" w:hAnsi="宋体" w:cs="宋体"/>
                <w:sz w:val="20"/>
                <w:szCs w:val="20"/>
              </w:rPr>
              <w:t>市级</w:t>
            </w:r>
            <w:r>
              <w:rPr>
                <w:rFonts w:ascii="宋体" w:hAnsi="宋体" w:cs="宋体"/>
                <w:sz w:val="20"/>
                <w:szCs w:val="20"/>
              </w:rPr>
              <w:t>,</w:t>
            </w:r>
            <w:r>
              <w:rPr>
                <w:rFonts w:hint="eastAsia" w:ascii="宋体" w:hAnsi="宋体" w:cs="宋体"/>
                <w:sz w:val="20"/>
                <w:szCs w:val="20"/>
              </w:rPr>
              <w:t>县级</w:t>
            </w:r>
          </w:p>
        </w:tc>
        <w:tc>
          <w:tcPr>
            <w:tcW w:w="11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hAnsi="宋体" w:cs="宋体"/>
                <w:sz w:val="20"/>
                <w:szCs w:val="20"/>
              </w:rPr>
              <w:t>行政处罚</w:t>
            </w:r>
          </w:p>
        </w:tc>
        <w:tc>
          <w:tcPr>
            <w:tcW w:w="1000"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Calibri" w:hAnsi="Calibri" w:eastAsia="宋体" w:cs="Calibri"/>
                <w:kern w:val="2"/>
                <w:sz w:val="20"/>
                <w:szCs w:val="20"/>
                <w:lang w:val="en-US" w:eastAsia="zh-CN" w:bidi="ar-SA"/>
              </w:rPr>
            </w:pPr>
            <w:r>
              <w:rPr>
                <w:rFonts w:hint="eastAsia" w:ascii="宋体" w:cs="宋体"/>
                <w:sz w:val="20"/>
                <w:szCs w:val="20"/>
                <w:lang w:eastAsia="zh-CN"/>
              </w:rPr>
              <w:t>质安站</w:t>
            </w:r>
          </w:p>
        </w:tc>
        <w:tc>
          <w:tcPr>
            <w:tcW w:w="1033"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通过</w:t>
            </w:r>
          </w:p>
        </w:tc>
        <w:tc>
          <w:tcPr>
            <w:tcW w:w="2821" w:type="dxa"/>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Calibri" w:eastAsia="宋体" w:cs="宋体"/>
                <w:kern w:val="2"/>
                <w:sz w:val="20"/>
                <w:szCs w:val="20"/>
                <w:lang w:val="en-US" w:eastAsia="zh-CN" w:bidi="ar-SA"/>
              </w:rPr>
            </w:pPr>
            <w:r>
              <w:rPr>
                <w:rFonts w:hint="eastAsia" w:ascii="宋体" w:hAnsi="宋体" w:cs="宋体"/>
                <w:sz w:val="20"/>
                <w:szCs w:val="20"/>
              </w:rPr>
              <w:t>剑阁县住房和城乡建设局</w:t>
            </w:r>
          </w:p>
        </w:tc>
      </w:tr>
    </w:tbl>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pPr>
    </w:p>
    <w:p>
      <w:pPr>
        <w:spacing w:line="576" w:lineRule="exact"/>
        <w:ind w:firstLine="642" w:firstLineChars="200"/>
        <w:jc w:val="left"/>
        <w:rPr>
          <w:rFonts w:ascii="??_GB2312" w:hAnsi="??_GB2312" w:cs="??_GB2312"/>
          <w:b/>
          <w:bCs/>
          <w:sz w:val="32"/>
          <w:szCs w:val="32"/>
        </w:rPr>
        <w:sectPr>
          <w:pgSz w:w="16838" w:h="11906" w:orient="landscape"/>
          <w:pgMar w:top="1474" w:right="1304" w:bottom="1474" w:left="1304" w:header="851" w:footer="1587" w:gutter="0"/>
          <w:pgBorders>
            <w:top w:val="none" w:sz="0" w:space="0"/>
            <w:left w:val="none" w:sz="0" w:space="0"/>
            <w:bottom w:val="none" w:sz="0" w:space="0"/>
            <w:right w:val="none" w:sz="0" w:space="0"/>
          </w:pgBorders>
          <w:cols w:space="0" w:num="1"/>
          <w:rtlGutter w:val="0"/>
          <w:docGrid w:type="lines" w:linePitch="319"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五、剑阁县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80" w:lineRule="exact"/>
        <w:ind w:firstLine="629" w:firstLineChars="196"/>
        <w:textAlignment w:val="auto"/>
        <w:rPr>
          <w:rFonts w:hint="eastAsia" w:ascii="仿宋" w:hAnsi="仿宋" w:eastAsia="仿宋" w:cs="仿宋"/>
          <w:sz w:val="32"/>
          <w:szCs w:val="32"/>
        </w:rPr>
      </w:pPr>
      <w:r>
        <w:rPr>
          <w:rFonts w:hint="eastAsia" w:ascii="仿宋" w:hAnsi="仿宋" w:eastAsia="仿宋" w:cs="仿宋"/>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（一）依法享有的权利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当事人依法享有申请回避、陈述、申辩、复议、诉讼等权利，详见相应法律法规。 </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救济途径 </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319" w:leftChars="1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行政复议</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部门</w:t>
      </w:r>
      <w:r>
        <w:rPr>
          <w:rFonts w:hint="eastAsia" w:ascii="仿宋" w:hAnsi="仿宋" w:eastAsia="仿宋" w:cs="仿宋"/>
          <w:sz w:val="32"/>
          <w:szCs w:val="32"/>
          <w:lang w:eastAsia="zh-CN"/>
        </w:rPr>
        <w:t>：</w:t>
      </w:r>
      <w:r>
        <w:rPr>
          <w:rFonts w:hint="eastAsia" w:ascii="仿宋" w:hAnsi="仿宋" w:eastAsia="仿宋" w:cs="仿宋"/>
          <w:sz w:val="32"/>
          <w:szCs w:val="32"/>
        </w:rPr>
        <w:t>（1）剑阁县司法局行政复议与应诉股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电话：0839-5208080</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Chars="252" w:firstLine="320" w:firstLineChars="1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上级主管部门：广元市住房和城乡建设局，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960" w:firstLineChars="3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地址：广元市利州区利州东路612号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8" w:leftChars="304"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电话：0839-</w:t>
      </w:r>
      <w:r>
        <w:rPr>
          <w:rFonts w:hint="eastAsia" w:ascii="仿宋" w:hAnsi="仿宋" w:eastAsia="仿宋" w:cs="仿宋"/>
          <w:sz w:val="32"/>
          <w:szCs w:val="32"/>
          <w:lang w:val="en-US" w:eastAsia="zh-CN"/>
        </w:rPr>
        <w:t>3266750</w:t>
      </w:r>
      <w:r>
        <w:rPr>
          <w:rFonts w:hint="eastAsia" w:ascii="仿宋" w:hAnsi="仿宋" w:eastAsia="仿宋" w:cs="仿宋"/>
          <w:sz w:val="32"/>
          <w:szCs w:val="32"/>
          <w:lang w:eastAsia="zh-CN"/>
        </w:rPr>
        <w:br w:type="textWrapping"/>
      </w:r>
      <w:r>
        <w:rPr>
          <w:rFonts w:hint="eastAsia" w:ascii="仿宋" w:hAnsi="仿宋" w:eastAsia="仿宋" w:cs="仿宋"/>
          <w:sz w:val="32"/>
          <w:szCs w:val="32"/>
          <w:lang w:val="en-US" w:eastAsia="zh-CN"/>
        </w:rPr>
        <w:t>2、</w:t>
      </w:r>
      <w:r>
        <w:rPr>
          <w:rFonts w:hint="eastAsia" w:ascii="仿宋" w:hAnsi="仿宋" w:eastAsia="仿宋" w:cs="仿宋"/>
          <w:sz w:val="32"/>
          <w:szCs w:val="32"/>
        </w:rPr>
        <w:t>行政诉讼 </w:t>
      </w:r>
      <w:r>
        <w:rPr>
          <w:rFonts w:hint="eastAsia" w:ascii="仿宋" w:hAnsi="仿宋" w:eastAsia="仿宋" w:cs="仿宋"/>
          <w:sz w:val="32"/>
          <w:szCs w:val="32"/>
        </w:rPr>
        <w:br w:type="textWrapping"/>
      </w:r>
      <w:r>
        <w:rPr>
          <w:rFonts w:hint="eastAsia" w:ascii="仿宋" w:hAnsi="仿宋" w:eastAsia="仿宋" w:cs="仿宋"/>
          <w:sz w:val="32"/>
          <w:szCs w:val="32"/>
        </w:rPr>
        <w:t>单位：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剑阁县人民法院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地址</w:t>
      </w:r>
      <w:r>
        <w:rPr>
          <w:rFonts w:hint="eastAsia" w:ascii="仿宋" w:hAnsi="仿宋" w:eastAsia="仿宋" w:cs="仿宋"/>
          <w:sz w:val="32"/>
          <w:szCs w:val="32"/>
          <w:lang w:eastAsia="zh-CN"/>
        </w:rPr>
        <w:t>：</w:t>
      </w:r>
      <w:r>
        <w:rPr>
          <w:rFonts w:hint="eastAsia" w:ascii="仿宋" w:hAnsi="仿宋" w:eastAsia="仿宋" w:cs="仿宋"/>
          <w:sz w:val="32"/>
          <w:szCs w:val="32"/>
        </w:rPr>
        <w:t>剑阁县下寺镇剑阁县剑门关大道北段502号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电话：0839-5208</w:t>
      </w:r>
      <w:r>
        <w:rPr>
          <w:rFonts w:hint="eastAsia" w:ascii="仿宋" w:hAnsi="仿宋" w:eastAsia="仿宋" w:cs="仿宋"/>
          <w:sz w:val="32"/>
          <w:szCs w:val="32"/>
          <w:lang w:val="en-US" w:eastAsia="zh-CN"/>
        </w:rPr>
        <w:t>429</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对行政执法的监督投诉举报的方式、途径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剑阁县</w:t>
      </w:r>
      <w:r>
        <w:rPr>
          <w:rFonts w:hint="eastAsia" w:ascii="仿宋" w:hAnsi="仿宋" w:eastAsia="仿宋" w:cs="仿宋"/>
          <w:sz w:val="32"/>
          <w:szCs w:val="32"/>
          <w:lang w:eastAsia="zh-CN"/>
        </w:rPr>
        <w:t>住建</w:t>
      </w:r>
      <w:r>
        <w:rPr>
          <w:rFonts w:hint="eastAsia" w:ascii="仿宋" w:hAnsi="仿宋" w:eastAsia="仿宋" w:cs="仿宋"/>
          <w:sz w:val="32"/>
          <w:szCs w:val="32"/>
        </w:rPr>
        <w:t>局</w:t>
      </w:r>
      <w:r>
        <w:rPr>
          <w:rFonts w:hint="eastAsia" w:ascii="仿宋" w:hAnsi="仿宋" w:eastAsia="仿宋" w:cs="仿宋"/>
          <w:sz w:val="32"/>
          <w:szCs w:val="32"/>
          <w:lang w:eastAsia="zh-CN"/>
        </w:rPr>
        <w:t>办公室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地址：剑阁县</w:t>
      </w:r>
      <w:r>
        <w:rPr>
          <w:rFonts w:hint="eastAsia" w:ascii="仿宋" w:hAnsi="仿宋" w:eastAsia="仿宋" w:cs="仿宋"/>
          <w:sz w:val="32"/>
          <w:szCs w:val="32"/>
          <w:lang w:eastAsia="zh-CN"/>
        </w:rPr>
        <w:t>住建局</w:t>
      </w:r>
      <w:r>
        <w:rPr>
          <w:rFonts w:hint="eastAsia" w:ascii="仿宋" w:hAnsi="仿宋" w:eastAsia="仿宋" w:cs="仿宋"/>
          <w:sz w:val="32"/>
          <w:szCs w:val="32"/>
          <w:lang w:val="en-US" w:eastAsia="zh-CN"/>
        </w:rPr>
        <w:t>4</w:t>
      </w:r>
      <w:r>
        <w:rPr>
          <w:rFonts w:hint="eastAsia" w:ascii="仿宋" w:hAnsi="仿宋" w:eastAsia="仿宋" w:cs="仿宋"/>
          <w:sz w:val="32"/>
          <w:szCs w:val="32"/>
        </w:rPr>
        <w:t>楼   电话：0839-6601</w:t>
      </w:r>
      <w:r>
        <w:rPr>
          <w:rFonts w:hint="eastAsia" w:ascii="仿宋" w:hAnsi="仿宋" w:eastAsia="仿宋" w:cs="仿宋"/>
          <w:sz w:val="32"/>
          <w:szCs w:val="32"/>
          <w:lang w:val="en-US" w:eastAsia="zh-CN"/>
        </w:rPr>
        <w:t>355</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319" w:leftChars="1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剑阁县司法局行政复议与应诉股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电话：0839-5208080</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行政执法责任制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《国务院办公厅关于推行行政执法责任制的若干意见》（国办发[2005]37号）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《四川省人民政府办公厅关于深化行政执法责任制的实施意见》(川办发[2005]36号)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《四川省落实行政执法责任制全面推进依法行政考核办法》(川府法[2005]24号)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四川省行政执法监督条例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行政机关公务员处分条例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事业单位工作人员处分暂行规定</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jc w:val="left"/>
        <w:textAlignment w:val="auto"/>
        <w:rPr>
          <w:rFonts w:hint="eastAsia" w:ascii="仿宋" w:hAnsi="仿宋" w:eastAsia="仿宋" w:cs="仿宋"/>
          <w:b/>
          <w:bCs/>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 w:hAnsi="仿宋" w:eastAsia="仿宋" w:cs="仿宋"/>
          <w:b/>
          <w:bCs/>
          <w:sz w:val="32"/>
          <w:szCs w:val="32"/>
        </w:rPr>
        <w:sectPr>
          <w:pgSz w:w="11906" w:h="16838"/>
          <w:pgMar w:top="1304" w:right="1474" w:bottom="1304" w:left="1474" w:header="851" w:footer="1587" w:gutter="0"/>
          <w:pgBorders>
            <w:top w:val="none" w:sz="0" w:space="0"/>
            <w:left w:val="none" w:sz="0" w:space="0"/>
            <w:bottom w:val="none" w:sz="0" w:space="0"/>
            <w:right w:val="none" w:sz="0" w:space="0"/>
          </w:pgBorders>
          <w:cols w:space="0" w:num="1"/>
          <w:rtlGutter w:val="0"/>
          <w:docGrid w:type="lines" w:linePitch="319" w:charSpace="0"/>
        </w:sectPr>
      </w:pPr>
    </w:p>
    <w:p>
      <w:pPr>
        <w:numPr>
          <w:ilvl w:val="0"/>
          <w:numId w:val="0"/>
        </w:numPr>
        <w:ind w:firstLine="642" w:firstLineChars="200"/>
        <w:rPr>
          <w:rFonts w:hint="eastAsia" w:ascii="黑体" w:hAnsi="黑体" w:eastAsia="黑体" w:cs="黑体"/>
          <w:b/>
          <w:bCs/>
          <w:sz w:val="32"/>
          <w:szCs w:val="32"/>
        </w:rPr>
      </w:pPr>
      <w:r>
        <w:rPr>
          <w:rFonts w:hint="eastAsia" w:ascii="黑体" w:hAnsi="黑体" w:eastAsia="黑体" w:cs="黑体"/>
          <w:b/>
          <w:bCs/>
          <w:sz w:val="32"/>
          <w:szCs w:val="32"/>
          <w:lang w:eastAsia="zh-CN"/>
        </w:rPr>
        <w:t>六、</w:t>
      </w:r>
      <w:r>
        <w:rPr>
          <w:rFonts w:hint="eastAsia" w:ascii="黑体" w:hAnsi="黑体" w:eastAsia="黑体" w:cs="黑体"/>
          <w:b/>
          <w:bCs/>
          <w:sz w:val="32"/>
          <w:szCs w:val="32"/>
        </w:rPr>
        <w:t>剑阁县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局行政执法自由裁量标准</w:t>
      </w:r>
    </w:p>
    <w:tbl>
      <w:tblPr>
        <w:tblStyle w:val="5"/>
        <w:tblW w:w="14790" w:type="dxa"/>
        <w:tblInd w:w="-106" w:type="dxa"/>
        <w:tblLayout w:type="fixed"/>
        <w:tblCellMar>
          <w:top w:w="0" w:type="dxa"/>
          <w:left w:w="108" w:type="dxa"/>
          <w:bottom w:w="0" w:type="dxa"/>
          <w:right w:w="108" w:type="dxa"/>
        </w:tblCellMar>
      </w:tblPr>
      <w:tblGrid>
        <w:gridCol w:w="1395"/>
        <w:gridCol w:w="5355"/>
        <w:gridCol w:w="2472"/>
        <w:gridCol w:w="5568"/>
      </w:tblGrid>
      <w:tr>
        <w:tblPrEx>
          <w:tblCellMar>
            <w:top w:w="0" w:type="dxa"/>
            <w:left w:w="108" w:type="dxa"/>
            <w:bottom w:w="0" w:type="dxa"/>
            <w:right w:w="108" w:type="dxa"/>
          </w:tblCellMar>
        </w:tblPrEx>
        <w:trPr>
          <w:trHeight w:val="522" w:hRule="atLeast"/>
        </w:trPr>
        <w:tc>
          <w:tcPr>
            <w:tcW w:w="14790" w:type="dxa"/>
            <w:gridSpan w:val="4"/>
            <w:tcBorders>
              <w:top w:val="nil"/>
              <w:left w:val="nil"/>
              <w:bottom w:val="nil"/>
              <w:right w:val="nil"/>
            </w:tcBorders>
            <w:noWrap/>
            <w:vAlign w:val="bottom"/>
          </w:tcPr>
          <w:p>
            <w:pPr>
              <w:spacing w:line="360" w:lineRule="exact"/>
              <w:jc w:val="center"/>
              <w:rPr>
                <w:rFonts w:ascii="宋体" w:cs="Times New Roman"/>
                <w:b/>
                <w:bCs/>
                <w:sz w:val="28"/>
                <w:szCs w:val="28"/>
              </w:rPr>
            </w:pPr>
            <w:r>
              <w:rPr>
                <w:rFonts w:hint="eastAsia" w:ascii="宋体" w:hAnsi="宋体" w:cs="宋体"/>
                <w:b/>
                <w:bCs/>
                <w:sz w:val="28"/>
                <w:szCs w:val="28"/>
              </w:rPr>
              <w:t>剑阁县住房和城乡建设局行政执法裁量权标准</w:t>
            </w: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00" w:lineRule="exact"/>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一、行政许可</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行政权力事项</w:t>
            </w:r>
          </w:p>
        </w:tc>
        <w:tc>
          <w:tcPr>
            <w:tcW w:w="53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法律法规依据</w:t>
            </w:r>
          </w:p>
        </w:tc>
        <w:tc>
          <w:tcPr>
            <w:tcW w:w="24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适用情形</w:t>
            </w:r>
          </w:p>
        </w:tc>
        <w:tc>
          <w:tcPr>
            <w:tcW w:w="556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裁量标准</w:t>
            </w:r>
          </w:p>
        </w:tc>
      </w:tr>
      <w:tr>
        <w:tblPrEx>
          <w:tblCellMar>
            <w:top w:w="0" w:type="dxa"/>
            <w:left w:w="108" w:type="dxa"/>
            <w:bottom w:w="0" w:type="dxa"/>
            <w:right w:w="108" w:type="dxa"/>
          </w:tblCellMar>
        </w:tblPrEx>
        <w:trPr>
          <w:trHeight w:val="1140" w:hRule="atLeast"/>
        </w:trPr>
        <w:tc>
          <w:tcPr>
            <w:tcW w:w="139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商品房预售许可</w:t>
            </w:r>
          </w:p>
        </w:tc>
        <w:tc>
          <w:tcPr>
            <w:tcW w:w="535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中华人民共和国城市房地产管理法</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十</w:t>
            </w:r>
            <w:r>
              <w:rPr>
                <w:rFonts w:hint="eastAsia" w:ascii="宋体" w:hAnsi="宋体" w:cs="宋体"/>
                <w:color w:val="000000" w:themeColor="text1"/>
                <w:kern w:val="0"/>
                <w:sz w:val="20"/>
                <w:szCs w:val="20"/>
                <w:lang w:eastAsia="zh-CN"/>
                <w14:textFill>
                  <w14:solidFill>
                    <w14:schemeClr w14:val="tx1"/>
                  </w14:solidFill>
                </w14:textFill>
              </w:rPr>
              <w:t>五</w:t>
            </w:r>
            <w:r>
              <w:rPr>
                <w:rFonts w:hint="eastAsia" w:ascii="宋体" w:hAnsi="宋体" w:cs="宋体"/>
                <w:color w:val="000000" w:themeColor="text1"/>
                <w:kern w:val="0"/>
                <w:sz w:val="20"/>
                <w:szCs w:val="20"/>
                <w14:textFill>
                  <w14:solidFill>
                    <w14:schemeClr w14:val="tx1"/>
                  </w14:solidFill>
                </w14:textFill>
              </w:rPr>
              <w:t>条：</w:t>
            </w:r>
            <w:r>
              <w:rPr>
                <w:rFonts w:hint="eastAsia" w:ascii="宋体" w:hAnsi="宋体" w:cs="宋体"/>
                <w:color w:val="000000" w:themeColor="text1"/>
                <w:kern w:val="0"/>
                <w:sz w:val="20"/>
                <w:szCs w:val="20"/>
                <w:lang w:eastAsia="zh-CN"/>
                <w14:textFill>
                  <w14:solidFill>
                    <w14:schemeClr w14:val="tx1"/>
                  </w14:solidFill>
                </w14:textFill>
              </w:rPr>
              <w:t>商品房预售，应当符合下列条件：（一）已交付全部土地使用权出让金，取得土地使用权证书；（二）持有建设工程规划许可证；（三）按提供预售商品房计算，投入开发建设的资金达到工程建设总投资的百分之二十五以上，并已经确定施工进度和竣工交付日期；（四）向县级以上人民政府房产管理部门办理预售登记，取得商品房预售许可证明。商品房预售人应当按照国家有关规定将预售合同报县级以上人民政府房产管理部门和土地管理部门登记备案。商品房预售所得款项，必须用于有关工程建设。</w:t>
            </w:r>
          </w:p>
        </w:tc>
        <w:tc>
          <w:tcPr>
            <w:tcW w:w="2472"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lang w:val="en-US" w:eastAsia="zh-CN"/>
                <w14:textFill>
                  <w14:solidFill>
                    <w14:schemeClr w14:val="tx1"/>
                  </w14:solidFill>
                </w14:textFill>
              </w:rPr>
              <w:t>在建商品房，项目投资在总投资的25%以上</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擅自预售商品房的，由县级以上人民政府房地产开发主管部门责令停止违法行为，没收违法所得，可以并处已预售款百分之一以下的罚款</w:t>
            </w:r>
          </w:p>
        </w:tc>
      </w:tr>
      <w:tr>
        <w:tblPrEx>
          <w:tblCellMar>
            <w:top w:w="0" w:type="dxa"/>
            <w:left w:w="108" w:type="dxa"/>
            <w:bottom w:w="0" w:type="dxa"/>
            <w:right w:w="108" w:type="dxa"/>
          </w:tblCellMar>
        </w:tblPrEx>
        <w:trPr>
          <w:trHeight w:val="1140" w:hRule="atLeast"/>
        </w:trPr>
        <w:tc>
          <w:tcPr>
            <w:tcW w:w="139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城镇污水排入排水管网许可</w:t>
            </w:r>
          </w:p>
        </w:tc>
        <w:tc>
          <w:tcPr>
            <w:tcW w:w="535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《城镇排水与污水处理条例》、《四川省城市排水管理条例》、《城镇污水排入排水管网许可管理办法》</w:t>
            </w:r>
          </w:p>
        </w:tc>
        <w:tc>
          <w:tcPr>
            <w:tcW w:w="2472"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从事工业、建筑、餐饮、医疗等活动的企事业单位、个体工商户向城镇排水设施排放污水</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自受理申请之日起20日内作出决定。</w:t>
            </w:r>
          </w:p>
        </w:tc>
      </w:tr>
      <w:tr>
        <w:tblPrEx>
          <w:tblCellMar>
            <w:top w:w="0" w:type="dxa"/>
            <w:left w:w="108" w:type="dxa"/>
            <w:bottom w:w="0" w:type="dxa"/>
            <w:right w:w="108" w:type="dxa"/>
          </w:tblCellMar>
        </w:tblPrEx>
        <w:trPr>
          <w:trHeight w:val="2140" w:hRule="atLeast"/>
        </w:trPr>
        <w:tc>
          <w:tcPr>
            <w:tcW w:w="1395"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因工程建设需要拆除、改动、迁移供水、排水与污水处理设施审核</w:t>
            </w:r>
          </w:p>
        </w:tc>
        <w:tc>
          <w:tcPr>
            <w:tcW w:w="5355"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《城镇排水与污水处理条例》、《四川省城市排水管理条例》、《城市供水条例》、《四川省城市供水管理条例》</w:t>
            </w:r>
          </w:p>
        </w:tc>
        <w:tc>
          <w:tcPr>
            <w:tcW w:w="2472"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因工程建设需要拆除、改动、迁移供水、排水与污水处理设施</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cs="Times New Roman"/>
                <w:sz w:val="20"/>
                <w:szCs w:val="20"/>
              </w:rPr>
            </w:pPr>
            <w:r>
              <w:rPr>
                <w:rFonts w:hint="eastAsia" w:ascii="宋体" w:cs="Times New Roman"/>
                <w:sz w:val="20"/>
                <w:szCs w:val="20"/>
              </w:rPr>
              <w:t>因工程建设需要拆除、改动城镇排水与污水处理设施的，建设单位应当制定拆除、改动方案，报城镇排水主管部门审核，并承担重建、改建和采取临时措施的费用。</w:t>
            </w:r>
          </w:p>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因工程建设确需改装、拆除或者迁移城市公共供水设施的，建设单位应当报经县级以上人民政府城市规划行政主管部门和城市供水行政主管部门批准，并采取相应的补救措施。</w:t>
            </w:r>
          </w:p>
        </w:tc>
      </w:tr>
      <w:tr>
        <w:tblPrEx>
          <w:tblCellMar>
            <w:top w:w="0" w:type="dxa"/>
            <w:left w:w="108" w:type="dxa"/>
            <w:bottom w:w="0" w:type="dxa"/>
            <w:right w:w="108" w:type="dxa"/>
          </w:tblCellMar>
        </w:tblPrEx>
        <w:trPr>
          <w:trHeight w:val="582" w:hRule="atLeast"/>
        </w:trPr>
        <w:tc>
          <w:tcPr>
            <w:tcW w:w="139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由于工程施工、设备维修等原因确需停止供水的审批</w:t>
            </w:r>
          </w:p>
        </w:tc>
        <w:tc>
          <w:tcPr>
            <w:tcW w:w="535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《城市供水条例》、《四川省城市供水管理条例》</w:t>
            </w:r>
          </w:p>
        </w:tc>
        <w:tc>
          <w:tcPr>
            <w:tcW w:w="2472"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由于工程施工、设备维修等原因确需停止供水</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经城市供水行政主管部门批准并提前24小时通知用水单位和个人</w:t>
            </w:r>
          </w:p>
        </w:tc>
      </w:tr>
      <w:tr>
        <w:tblPrEx>
          <w:tblCellMar>
            <w:top w:w="0" w:type="dxa"/>
            <w:left w:w="108" w:type="dxa"/>
            <w:bottom w:w="0" w:type="dxa"/>
            <w:right w:w="108" w:type="dxa"/>
          </w:tblCellMar>
        </w:tblPrEx>
        <w:trPr>
          <w:trHeight w:val="31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关闭、闲置、拆除城市环卫设施许可</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《城市市容和环境卫生管理条例》第22条：一切单位和个人都不得擅自拆除环境卫生设施；因建设需要必须拆除的， 建设单位必须事先提出拆迁方案，报城市人民政府市容环境卫生行政主管部门批准。</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未经许可私自关闭、闲置、拆除城市环卫设施的</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ind w:firstLine="570"/>
              <w:rPr>
                <w:rFonts w:hint="eastAsia"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申请人须为企事业单位、社会团体、具备法人资格的行为人</w:t>
            </w:r>
            <w:r>
              <w:rPr>
                <w:rFonts w:hint="eastAsia" w:ascii="宋体" w:hAnsi="宋体" w:cs="宋体"/>
                <w:color w:val="000000" w:themeColor="text1"/>
                <w:kern w:val="0"/>
                <w:sz w:val="20"/>
                <w:szCs w:val="20"/>
                <w14:textFill>
                  <w14:solidFill>
                    <w14:schemeClr w14:val="tx1"/>
                  </w14:solidFill>
                </w14:textFill>
              </w:rPr>
              <w:t>，30个工作日办理。</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p>
        </w:tc>
      </w:tr>
      <w:tr>
        <w:tblPrEx>
          <w:tblCellMar>
            <w:top w:w="0" w:type="dxa"/>
            <w:left w:w="108" w:type="dxa"/>
            <w:bottom w:w="0" w:type="dxa"/>
            <w:right w:w="108" w:type="dxa"/>
          </w:tblCellMar>
        </w:tblPrEx>
        <w:trPr>
          <w:trHeight w:val="31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关闭、闲置或者拆除生活垃圾处置的设施、场所核准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《城市生活垃圾管理办法》第13条：任何单位和个人不得擅自关闭、闲置或者拆</w:t>
            </w:r>
            <w:r>
              <w:rPr>
                <w:rFonts w:ascii="宋体" w:hAnsi="宋体" w:cs="宋体"/>
                <w:color w:val="000000" w:themeColor="text1"/>
                <w:kern w:val="0"/>
                <w:sz w:val="20"/>
                <w:szCs w:val="20"/>
                <w14:textFill>
                  <w14:solidFill>
                    <w14:schemeClr w14:val="tx1"/>
                  </w14:solidFill>
                </w14:textFill>
              </w:rPr>
              <w:t>除城市生活垃圾处置设施、场所；确有必要关闭、闲置或者拆除的，必须经所在地县级以上地方人民政府建设（环境卫生）主管部门和环境保护主管部门核准，并采取措施，防止污染环境。</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cs="宋体"/>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未经</w:t>
            </w:r>
            <w:r>
              <w:rPr>
                <w:rFonts w:hint="eastAsia" w:ascii="宋体" w:hAnsi="宋体" w:cs="宋体"/>
                <w:color w:val="000000" w:themeColor="text1"/>
                <w:kern w:val="0"/>
                <w:sz w:val="20"/>
                <w:szCs w:val="20"/>
                <w14:textFill>
                  <w14:solidFill>
                    <w14:schemeClr w14:val="tx1"/>
                  </w14:solidFill>
                </w14:textFill>
              </w:rPr>
              <w:t>许可私自关闭、闲置、拆除生活垃圾处置设施、场所的</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ind w:firstLine="570"/>
              <w:rPr>
                <w:rFonts w:hint="eastAsia" w:ascii="宋体" w:hAnsi="宋体" w:cs="宋体"/>
                <w:color w:val="000000" w:themeColor="text1"/>
                <w:kern w:val="0"/>
                <w:sz w:val="20"/>
                <w:szCs w:val="20"/>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申请人须为企事业单位、社会团体、具备法人资格的行为人</w:t>
            </w:r>
            <w:r>
              <w:rPr>
                <w:rFonts w:hint="eastAsia" w:ascii="宋体" w:hAnsi="宋体" w:cs="宋体"/>
                <w:color w:val="000000" w:themeColor="text1"/>
                <w:kern w:val="0"/>
                <w:sz w:val="20"/>
                <w:szCs w:val="20"/>
                <w14:textFill>
                  <w14:solidFill>
                    <w14:schemeClr w14:val="tx1"/>
                  </w14:solidFill>
                </w14:textFill>
              </w:rPr>
              <w:t>，30个工作日办理。</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p>
        </w:tc>
      </w:tr>
      <w:tr>
        <w:tblPrEx>
          <w:tblCellMar>
            <w:top w:w="0" w:type="dxa"/>
            <w:left w:w="108" w:type="dxa"/>
            <w:bottom w:w="0" w:type="dxa"/>
            <w:right w:w="108" w:type="dxa"/>
          </w:tblCellMar>
        </w:tblPrEx>
        <w:trPr>
          <w:trHeight w:val="4163"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从事生活垃圾（含粪便）经营性清扫、收集、运输、处理服务审批</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第25条　从事城市生活垃圾经营性处置的企业，应当向所在地直辖市、市、县人民政府建设（环境卫生）主管部门取得城市生活垃圾经营性处置服务许可证。未取得城市生活垃圾经营性处置服务许可证，不得从事城市生活垃圾经营性处置活动。</w:t>
            </w:r>
          </w:p>
          <w:p>
            <w:pPr>
              <w:keepNext w:val="0"/>
              <w:keepLines w:val="0"/>
              <w:pageBreakBefore w:val="0"/>
              <w:widowControl/>
              <w:kinsoku/>
              <w:wordWrap/>
              <w:overflowPunct/>
              <w:topLinePunct w:val="0"/>
              <w:autoSpaceDE/>
              <w:autoSpaceDN/>
              <w:bidi w:val="0"/>
              <w:adjustRightInd/>
              <w:snapToGrid/>
              <w:spacing w:line="300" w:lineRule="exact"/>
              <w:jc w:val="left"/>
              <w:rPr>
                <w:rFonts w:ascii="宋体" w:hAnsi="Calibri" w:eastAsia="宋体" w:cs="Times New Roman"/>
                <w:color w:val="000000" w:themeColor="text1"/>
                <w:kern w:val="0"/>
                <w:sz w:val="20"/>
                <w:szCs w:val="20"/>
                <w:lang w:val="en-US" w:eastAsia="zh-CN" w:bidi="ar-SA"/>
                <w14:textFill>
                  <w14:solidFill>
                    <w14:schemeClr w14:val="tx1"/>
                  </w14:solidFill>
                </w14:textFill>
              </w:rPr>
            </w:pP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未经</w:t>
            </w:r>
            <w:r>
              <w:rPr>
                <w:rFonts w:hint="eastAsia" w:ascii="宋体" w:hAnsi="宋体" w:cs="宋体"/>
                <w:color w:val="000000" w:themeColor="text1"/>
                <w:kern w:val="0"/>
                <w:sz w:val="20"/>
                <w:szCs w:val="20"/>
                <w14:textFill>
                  <w14:solidFill>
                    <w14:schemeClr w14:val="tx1"/>
                  </w14:solidFill>
                </w14:textFill>
              </w:rPr>
              <w:t>许可私自</w:t>
            </w:r>
            <w:r>
              <w:rPr>
                <w:rFonts w:hint="eastAsia" w:ascii="宋体" w:cs="Times New Roman"/>
                <w:color w:val="000000" w:themeColor="text1"/>
                <w:kern w:val="0"/>
                <w:sz w:val="20"/>
                <w:szCs w:val="20"/>
                <w14:textFill>
                  <w14:solidFill>
                    <w14:schemeClr w14:val="tx1"/>
                  </w14:solidFill>
                </w14:textFill>
              </w:rPr>
              <w:t>从事生活垃圾（含粪便）经营性清扫、收集、运输、处理服务的</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具备企业法人资格，从事垃圾清扫、收集的企业注册资本不少于人民币100万元，从事垃圾运输的企业注册资本不少于人民币300万元</w:t>
            </w:r>
            <w:r>
              <w:rPr>
                <w:rFonts w:hint="eastAsia" w:ascii="宋体" w:cs="Times New Roman"/>
                <w:color w:val="000000" w:themeColor="text1"/>
                <w:kern w:val="0"/>
                <w:sz w:val="20"/>
                <w:szCs w:val="20"/>
                <w14:textFill>
                  <w14:solidFill>
                    <w14:schemeClr w14:val="tx1"/>
                  </w14:solidFill>
                </w14:textFill>
              </w:rPr>
              <w:t>，</w:t>
            </w:r>
            <w:r>
              <w:rPr>
                <w:rFonts w:ascii="宋体" w:cs="Times New Roman"/>
                <w:color w:val="000000" w:themeColor="text1"/>
                <w:kern w:val="0"/>
                <w:sz w:val="20"/>
                <w:szCs w:val="20"/>
                <w14:textFill>
                  <w14:solidFill>
                    <w14:schemeClr w14:val="tx1"/>
                  </w14:solidFill>
                </w14:textFill>
              </w:rPr>
              <w:t>机械清扫能力达到总清扫能力的20%以上，机械清扫车辆包括洒水车和清扫保洁车辆。机械清扫车辆应当具有自动洒水、防尘、防遗撒、安全警示功能，安装车辆行驶及清扫过程记录仪；垃圾收集应当采用全密闭运输工具，并应当具有分类收集功能；垃圾运输应当采用全密闭自动卸载车辆或船只，具有防臭味扩散、防遗撒、防渗沥液滴漏功能，安装行驶及装卸记录仪；具有健全的技术、质量、安全和监测管理制度并得到有效执行；具有合法的道路运输经营许可证、车辆行驶证；具有固定的办公及机械、设备、车辆、船只停放场所</w:t>
            </w:r>
            <w:r>
              <w:rPr>
                <w:rFonts w:hint="eastAsia" w:ascii="宋体" w:cs="Times New Roman"/>
                <w:color w:val="000000" w:themeColor="text1"/>
                <w:kern w:val="0"/>
                <w:sz w:val="20"/>
                <w:szCs w:val="20"/>
                <w14:textFill>
                  <w14:solidFill>
                    <w14:schemeClr w14:val="tx1"/>
                  </w14:solidFill>
                </w14:textFill>
              </w:rPr>
              <w:t>，30个工作日办理。</w:t>
            </w:r>
          </w:p>
        </w:tc>
      </w:tr>
      <w:tr>
        <w:tblPrEx>
          <w:tblCellMar>
            <w:top w:w="0" w:type="dxa"/>
            <w:left w:w="108" w:type="dxa"/>
            <w:bottom w:w="0" w:type="dxa"/>
            <w:right w:w="108" w:type="dxa"/>
          </w:tblCellMar>
        </w:tblPrEx>
        <w:trPr>
          <w:trHeight w:val="31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城市建筑垃圾处置核准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《城市建筑垃圾管理规定》第七条　处置建筑垃圾的单位，应当向城市人民政府市容环境卫生主管部门提出申请，获得城市建筑垃圾处置核准后，方可处置。 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keepNext w:val="0"/>
              <w:keepLines w:val="0"/>
              <w:pageBreakBefore w:val="0"/>
              <w:widowControl/>
              <w:kinsoku/>
              <w:wordWrap/>
              <w:overflowPunct/>
              <w:topLinePunct w:val="0"/>
              <w:autoSpaceDE/>
              <w:autoSpaceDN/>
              <w:bidi w:val="0"/>
              <w:adjustRightInd/>
              <w:snapToGrid/>
              <w:spacing w:line="300" w:lineRule="exact"/>
              <w:jc w:val="left"/>
              <w:rPr>
                <w:rFonts w:ascii="宋体" w:hAnsi="Calibri" w:eastAsia="宋体" w:cs="Times New Roman"/>
                <w:color w:val="000000" w:themeColor="text1"/>
                <w:kern w:val="0"/>
                <w:sz w:val="20"/>
                <w:szCs w:val="20"/>
                <w:lang w:val="en-US" w:eastAsia="zh-CN" w:bidi="ar-SA"/>
                <w14:textFill>
                  <w14:solidFill>
                    <w14:schemeClr w14:val="tx1"/>
                  </w14:solidFill>
                </w14:textFill>
              </w:rPr>
            </w:pP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未经</w:t>
            </w:r>
            <w:r>
              <w:rPr>
                <w:rFonts w:hint="eastAsia" w:ascii="宋体" w:hAnsi="宋体" w:cs="宋体"/>
                <w:color w:val="000000" w:themeColor="text1"/>
                <w:kern w:val="0"/>
                <w:sz w:val="20"/>
                <w:szCs w:val="20"/>
                <w14:textFill>
                  <w14:solidFill>
                    <w14:schemeClr w14:val="tx1"/>
                  </w14:solidFill>
                </w14:textFill>
              </w:rPr>
              <w:t>许可私自</w:t>
            </w:r>
            <w:r>
              <w:rPr>
                <w:rFonts w:ascii="宋体" w:cs="Times New Roman"/>
                <w:color w:val="000000" w:themeColor="text1"/>
                <w:kern w:val="0"/>
                <w:sz w:val="20"/>
                <w:szCs w:val="20"/>
                <w14:textFill>
                  <w14:solidFill>
                    <w14:schemeClr w14:val="tx1"/>
                  </w14:solidFill>
                </w14:textFill>
              </w:rPr>
              <w:t>处置建筑垃圾的</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新建、改建、扩建和拆除各类建筑物、构筑物、管网等以及居民装饰装修房屋过程所产生的弃土、弃料及其它废弃物，需要处置</w:t>
            </w:r>
            <w:r>
              <w:rPr>
                <w:rFonts w:hint="eastAsia" w:ascii="宋体" w:cs="Times New Roman"/>
                <w:color w:val="000000" w:themeColor="text1"/>
                <w:kern w:val="0"/>
                <w:sz w:val="20"/>
                <w:szCs w:val="20"/>
                <w14:textFill>
                  <w14:solidFill>
                    <w14:schemeClr w14:val="tx1"/>
                  </w14:solidFill>
                </w14:textFill>
              </w:rPr>
              <w:t>，20个工作日办理。</w:t>
            </w: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二、其他行政权力</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行政权力事项</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法律法规依据</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适用范围</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b/>
                <w:bCs/>
                <w:color w:val="000000" w:themeColor="text1"/>
                <w:sz w:val="20"/>
                <w:szCs w:val="20"/>
                <w14:textFill>
                  <w14:solidFill>
                    <w14:schemeClr w14:val="tx1"/>
                  </w14:solidFill>
                </w14:textFill>
              </w:rPr>
            </w:pPr>
            <w:r>
              <w:rPr>
                <w:rFonts w:hint="eastAsia" w:ascii="宋体" w:hAnsi="宋体" w:cs="宋体"/>
                <w:b/>
                <w:bCs/>
                <w:color w:val="000000" w:themeColor="text1"/>
                <w:sz w:val="20"/>
                <w:szCs w:val="20"/>
                <w14:textFill>
                  <w14:solidFill>
                    <w14:schemeClr w14:val="tx1"/>
                  </w14:solidFill>
                </w14:textFill>
              </w:rPr>
              <w:t>裁量标准</w:t>
            </w:r>
          </w:p>
        </w:tc>
      </w:tr>
      <w:tr>
        <w:tblPrEx>
          <w:tblCellMar>
            <w:top w:w="0" w:type="dxa"/>
            <w:left w:w="108" w:type="dxa"/>
            <w:bottom w:w="0" w:type="dxa"/>
            <w:right w:w="108" w:type="dxa"/>
          </w:tblCellMar>
        </w:tblPrEx>
        <w:trPr>
          <w:trHeight w:val="1407"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color w:val="000000" w:themeColor="text1"/>
                <w:sz w:val="20"/>
                <w:szCs w:val="20"/>
                <w14:textFill>
                  <w14:solidFill>
                    <w14:schemeClr w14:val="tx1"/>
                  </w14:solidFill>
                </w14:textFill>
              </w:rPr>
            </w:pPr>
            <w:r>
              <w:rPr>
                <w:rFonts w:hint="eastAsia" w:ascii="宋体" w:cs="Times New Roman"/>
                <w:color w:val="000000" w:themeColor="text1"/>
                <w:sz w:val="20"/>
                <w:szCs w:val="20"/>
                <w14:textFill>
                  <w14:solidFill>
                    <w14:schemeClr w14:val="tx1"/>
                  </w14:solidFill>
                </w14:textFill>
              </w:rPr>
              <w:t>污水处理费的征收</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color w:val="000000" w:themeColor="text1"/>
                <w:sz w:val="20"/>
                <w:szCs w:val="20"/>
                <w14:textFill>
                  <w14:solidFill>
                    <w14:schemeClr w14:val="tx1"/>
                  </w14:solidFill>
                </w14:textFill>
              </w:rPr>
            </w:pPr>
            <w:r>
              <w:rPr>
                <w:rFonts w:hint="eastAsia" w:ascii="宋体" w:cs="Times New Roman"/>
                <w:color w:val="000000" w:themeColor="text1"/>
                <w:sz w:val="20"/>
                <w:szCs w:val="20"/>
                <w14:textFill>
                  <w14:solidFill>
                    <w14:schemeClr w14:val="tx1"/>
                  </w14:solidFill>
                </w14:textFill>
              </w:rPr>
              <w:t>《城镇排水与污水处理条例》、《四川省城市排水管理条例》</w:t>
            </w:r>
          </w:p>
        </w:tc>
        <w:tc>
          <w:tcPr>
            <w:tcW w:w="2472" w:type="dxa"/>
            <w:tcBorders>
              <w:top w:val="single" w:color="000000" w:sz="4" w:space="0"/>
              <w:left w:val="single" w:color="000000" w:sz="4" w:space="0"/>
              <w:bottom w:val="single" w:color="000000" w:sz="4" w:space="0"/>
              <w:right w:val="single" w:color="000000" w:sz="4" w:space="0"/>
            </w:tcBorders>
            <w:vAlign w:val="center"/>
          </w:tcPr>
          <w:p>
            <w:pPr>
              <w:spacing w:line="2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向城市污水集中处理设施及配套管网排放污水的单位和个人</w:t>
            </w:r>
          </w:p>
        </w:tc>
        <w:tc>
          <w:tcPr>
            <w:tcW w:w="5568" w:type="dxa"/>
            <w:tcBorders>
              <w:top w:val="single" w:color="000000" w:sz="4" w:space="0"/>
              <w:left w:val="single" w:color="000000" w:sz="4" w:space="0"/>
              <w:bottom w:val="single" w:color="000000" w:sz="4" w:space="0"/>
              <w:right w:val="single" w:color="000000" w:sz="4" w:space="0"/>
            </w:tcBorders>
            <w:vAlign w:val="center"/>
          </w:tcPr>
          <w:p>
            <w:pPr>
              <w:spacing w:line="2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污水处理费的具体征收标准，按城市供水价格管理权限审批。使用城市公共供水的用户，其城市污水处理费分类计入供水价格，由城市公共供水企业在收取水费时一并收取；使用自备水源的用户，其城市污水处理费由水行政主管部门在收取水资源费时按当地城市供水价格分类标准一并计量收取。已缴纳污水处理费的排水户，不再缴纳排污费。</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color w:val="000000" w:themeColor="text1"/>
                <w:sz w:val="20"/>
                <w:szCs w:val="20"/>
                <w14:textFill>
                  <w14:solidFill>
                    <w14:schemeClr w14:val="tx1"/>
                  </w14:solidFill>
                </w14:textFill>
              </w:rPr>
            </w:pPr>
            <w:r>
              <w:rPr>
                <w:rFonts w:hint="eastAsia" w:ascii="宋体" w:cs="Times New Roman"/>
                <w:color w:val="000000" w:themeColor="text1"/>
                <w:sz w:val="20"/>
                <w:szCs w:val="20"/>
                <w14:textFill>
                  <w14:solidFill>
                    <w14:schemeClr w14:val="tx1"/>
                  </w14:solidFill>
                </w14:textFill>
              </w:rPr>
              <w:t>城镇排水与污水处理设施竣工验收备案</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cs="Times New Roman"/>
                <w:color w:val="000000" w:themeColor="text1"/>
                <w:sz w:val="20"/>
                <w:szCs w:val="20"/>
                <w14:textFill>
                  <w14:solidFill>
                    <w14:schemeClr w14:val="tx1"/>
                  </w14:solidFill>
                </w14:textFill>
              </w:rPr>
            </w:pPr>
            <w:r>
              <w:rPr>
                <w:rFonts w:hint="eastAsia" w:ascii="宋体" w:cs="Times New Roman"/>
                <w:color w:val="000000" w:themeColor="text1"/>
                <w:sz w:val="20"/>
                <w:szCs w:val="20"/>
                <w14:textFill>
                  <w14:solidFill>
                    <w14:schemeClr w14:val="tx1"/>
                  </w14:solidFill>
                </w14:textFill>
              </w:rPr>
              <w:t>《城镇排水与污水处理条例》、《四川省城市排水管理条例》</w:t>
            </w:r>
          </w:p>
        </w:tc>
        <w:tc>
          <w:tcPr>
            <w:tcW w:w="2472" w:type="dxa"/>
            <w:tcBorders>
              <w:top w:val="single" w:color="000000" w:sz="4" w:space="0"/>
              <w:left w:val="single" w:color="000000" w:sz="4" w:space="0"/>
              <w:bottom w:val="single" w:color="000000" w:sz="4" w:space="0"/>
              <w:right w:val="single" w:color="000000" w:sz="4" w:space="0"/>
            </w:tcBorders>
            <w:vAlign w:val="center"/>
          </w:tcPr>
          <w:p>
            <w:pPr>
              <w:spacing w:line="2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城镇排水与污水处理设施建设工程</w:t>
            </w:r>
          </w:p>
        </w:tc>
        <w:tc>
          <w:tcPr>
            <w:tcW w:w="5568" w:type="dxa"/>
            <w:tcBorders>
              <w:top w:val="single" w:color="000000" w:sz="4" w:space="0"/>
              <w:left w:val="single" w:color="000000" w:sz="4" w:space="0"/>
              <w:bottom w:val="single" w:color="000000" w:sz="4" w:space="0"/>
              <w:right w:val="single" w:color="000000" w:sz="4" w:space="0"/>
            </w:tcBorders>
            <w:vAlign w:val="center"/>
          </w:tcPr>
          <w:p>
            <w:pPr>
              <w:spacing w:line="200" w:lineRule="exact"/>
              <w:jc w:val="both"/>
              <w:rPr>
                <w:rFonts w:ascii="宋体" w:hAnsi="Calibri" w:eastAsia="宋体" w:cs="Times New Roman"/>
                <w:kern w:val="2"/>
                <w:sz w:val="20"/>
                <w:szCs w:val="20"/>
                <w:lang w:val="en-US" w:eastAsia="zh-CN" w:bidi="ar-SA"/>
              </w:rPr>
            </w:pPr>
            <w:r>
              <w:rPr>
                <w:rFonts w:hint="eastAsia" w:ascii="宋体" w:cs="Times New Roman"/>
                <w:sz w:val="20"/>
                <w:szCs w:val="20"/>
              </w:rPr>
              <w:t>城镇排水与污水处理设施建设工程竣工后，建设单位应当依法组织竣工验收，竣工验收合格的，方可交付使用，并自竣工验收合格之日起15日内，将竣工验收报告及相关资料报城镇排水主管部门备案。</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城市房地产开发经营管理的监督</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ascii="宋体" w:hAnsi="宋体" w:cs="宋体"/>
                <w:color w:val="000000" w:themeColor="text1"/>
                <w:kern w:val="0"/>
                <w:sz w:val="20"/>
                <w:szCs w:val="20"/>
                <w14:textFill>
                  <w14:solidFill>
                    <w14:schemeClr w14:val="tx1"/>
                  </w14:solidFill>
                </w14:textFill>
              </w:rPr>
              <w:t>1</w:t>
            </w: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对未取得房地产开发资质证书，擅自销售商品房的处罚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五条：未取得资质等级证书，擅自从事房地产开发经营的，由县级以上地方人民政府工商行政主管部门责令停止房地产开发经营活动，没收违法所得，可以并处违法所得5倍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宋体" w:eastAsia="宋体" w:cs="Times New Roman"/>
                <w:color w:val="000000" w:themeColor="text1"/>
                <w:sz w:val="20"/>
                <w:szCs w:val="20"/>
                <w:lang w:eastAsia="zh-CN"/>
                <w14:textFill>
                  <w14:solidFill>
                    <w14:schemeClr w14:val="tx1"/>
                  </w14:solidFill>
                </w14:textFill>
              </w:rPr>
            </w:pPr>
            <w:r>
              <w:rPr>
                <w:rFonts w:hint="eastAsia" w:ascii="宋体" w:cs="Times New Roman"/>
                <w:color w:val="000000" w:themeColor="text1"/>
                <w:sz w:val="20"/>
                <w:szCs w:val="20"/>
                <w:lang w:eastAsia="zh-CN"/>
                <w14:textFill>
                  <w14:solidFill>
                    <w14:schemeClr w14:val="tx1"/>
                  </w14:solidFill>
                </w14:textFill>
              </w:rPr>
              <w:t>商品房预售</w:t>
            </w:r>
            <w:r>
              <w:rPr>
                <w:rFonts w:hint="eastAsia" w:ascii="宋体" w:hAnsi="宋体" w:cs="宋体"/>
                <w:color w:val="000000" w:themeColor="text1"/>
                <w:kern w:val="0"/>
                <w:sz w:val="20"/>
                <w:szCs w:val="20"/>
                <w:lang w:eastAsia="zh-CN"/>
                <w14:textFill>
                  <w14:solidFill>
                    <w14:schemeClr w14:val="tx1"/>
                  </w14:solidFill>
                </w14:textFill>
              </w:rPr>
              <w:t>监督</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对未取得商品房预售许可证进行预售的处罚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bottom"/>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《城市房地产开发经营管理条例》第三十九条：擅自预售商品房的，由县级以上地方人民政府房地产开发主管部门责令停止违法行为，没收违法所得，可以并处收取的预付款1%以下的罚款。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eastAsia="宋体" w:cs="Times New Roman"/>
                <w:color w:val="000000" w:themeColor="text1"/>
                <w:sz w:val="20"/>
                <w:szCs w:val="20"/>
                <w:lang w:eastAsia="zh-CN"/>
                <w14:textFill>
                  <w14:solidFill>
                    <w14:schemeClr w14:val="tx1"/>
                  </w14:solidFill>
                </w14:textFill>
              </w:rPr>
            </w:pPr>
            <w:r>
              <w:rPr>
                <w:rFonts w:hint="eastAsia" w:ascii="宋体" w:cs="Times New Roman"/>
                <w:color w:val="000000" w:themeColor="text1"/>
                <w:sz w:val="20"/>
                <w:szCs w:val="20"/>
                <w:lang w:eastAsia="zh-CN"/>
                <w14:textFill>
                  <w14:solidFill>
                    <w14:schemeClr w14:val="tx1"/>
                  </w14:solidFill>
                </w14:textFill>
              </w:rPr>
              <w:t>商品房交付</w:t>
            </w:r>
            <w:r>
              <w:rPr>
                <w:rFonts w:hint="eastAsia" w:ascii="宋体" w:hAnsi="宋体" w:cs="宋体"/>
                <w:color w:val="000000" w:themeColor="text1"/>
                <w:kern w:val="0"/>
                <w:sz w:val="20"/>
                <w:szCs w:val="20"/>
                <w:lang w:eastAsia="zh-CN"/>
                <w14:textFill>
                  <w14:solidFill>
                    <w14:schemeClr w14:val="tx1"/>
                  </w14:solidFill>
                </w14:textFill>
              </w:rPr>
              <w:t>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对将未经验收的房屋交付使用，将验收不合格的房屋交付使用的处罚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六条：未经验收的房屋交付使用的，由县级以上地方人民政府房地产开发主管部门责令限期补办验收手续；逾期不补办手续的，由县级以上人民政府房地产开发主管部门组织有关部门和单位进行验收，并处10万元以上30万元以下罚款；经验收不合格的，依照本条例第三十七条的规定处理。                                                                                   《城市房地产开发经营管理条例》第三十七条：将验收不合格的房屋交付使用的，由县级以上地方人民政府房地产开发主管部门责令限期返修，并处交付使用的房屋总造价2%以下罚款。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eastAsia="宋体" w:cs="Times New Roman"/>
                <w:color w:val="000000" w:themeColor="text1"/>
                <w:sz w:val="20"/>
                <w:szCs w:val="20"/>
                <w:lang w:eastAsia="zh-CN"/>
                <w14:textFill>
                  <w14:solidFill>
                    <w14:schemeClr w14:val="tx1"/>
                  </w14:solidFill>
                </w14:textFill>
              </w:rPr>
            </w:pPr>
            <w:r>
              <w:rPr>
                <w:rFonts w:hint="eastAsia" w:ascii="宋体" w:cs="Times New Roman"/>
                <w:color w:val="000000" w:themeColor="text1"/>
                <w:sz w:val="20"/>
                <w:szCs w:val="20"/>
                <w:lang w:eastAsia="zh-CN"/>
                <w14:textFill>
                  <w14:solidFill>
                    <w14:schemeClr w14:val="tx1"/>
                  </w14:solidFill>
                </w14:textFill>
              </w:rPr>
              <w:t>开发企业资质管理</w:t>
            </w:r>
            <w:r>
              <w:rPr>
                <w:rFonts w:hint="eastAsia" w:ascii="宋体" w:hAnsi="宋体" w:cs="宋体"/>
                <w:color w:val="000000" w:themeColor="text1"/>
                <w:kern w:val="0"/>
                <w:sz w:val="20"/>
                <w:szCs w:val="20"/>
                <w:lang w:eastAsia="zh-CN"/>
                <w14:textFill>
                  <w14:solidFill>
                    <w14:schemeClr w14:val="tx1"/>
                  </w14:solidFill>
                </w14:textFill>
              </w:rPr>
              <w:t>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对房地产开发企业涂改、出租、出借、转让、出卖资质证书的处罚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《房地产开发企业资质管理规定》第二十一条：对房地产开发企业涂改、出租、出借、转让、出卖资质证书的，由原资质审批部门公告资质证书作废，收回证书，并可处1万元以上3万元以下罚款。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both"/>
              <w:rPr>
                <w:rFonts w:hint="eastAsia" w:ascii="宋体" w:eastAsia="宋体" w:cs="Times New Roman"/>
                <w:color w:val="000000" w:themeColor="text1"/>
                <w:sz w:val="20"/>
                <w:szCs w:val="20"/>
                <w:lang w:eastAsia="zh-CN"/>
                <w14:textFill>
                  <w14:solidFill>
                    <w14:schemeClr w14:val="tx1"/>
                  </w14:solidFill>
                </w14:textFill>
              </w:rPr>
            </w:pPr>
            <w:r>
              <w:rPr>
                <w:rFonts w:hint="eastAsia" w:ascii="宋体" w:cs="Times New Roman"/>
                <w:color w:val="000000" w:themeColor="text1"/>
                <w:sz w:val="20"/>
                <w:szCs w:val="20"/>
                <w:lang w:eastAsia="zh-CN"/>
                <w14:textFill>
                  <w14:solidFill>
                    <w14:schemeClr w14:val="tx1"/>
                  </w14:solidFill>
                </w14:textFill>
              </w:rPr>
              <w:t>商品房销售</w:t>
            </w:r>
            <w:r>
              <w:rPr>
                <w:rFonts w:hint="eastAsia" w:ascii="宋体" w:hAnsi="宋体" w:cs="宋体"/>
                <w:color w:val="000000" w:themeColor="text1"/>
                <w:kern w:val="0"/>
                <w:sz w:val="20"/>
                <w:szCs w:val="20"/>
                <w:lang w:eastAsia="zh-CN"/>
                <w14:textFill>
                  <w14:solidFill>
                    <w14:schemeClr w14:val="tx1"/>
                  </w14:solidFill>
                </w14:textFill>
              </w:rPr>
              <w:t>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对房地产开发企业在商品住宅销售中不按照规定发放《住宅质量保证书》和《住宅使用说明书》的处罚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房地产开发企业资质管理规定》第二十三条：对房地产开发企业在商品住宅销售中不按照规定发放《住宅质量保证书》和《住宅使用说明书》的，由原资质审批部门予以警告，责令限期改正，降低资质等，并可处1万元以上2万元以下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对房地产开发企业未取得资质证书或者超越资质等级从事房地产开发经营的处罚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五条：未取得资质等级证书或者超越资质等级从事房地产开发经营的，由县级以上地方人民政府房地产开发主管部门责令限期改正，处5万元以上10万元以下罚款；逾期不改正的，由工商行政管理部门吊销营业执照。</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对未取得房地产开发资质证书，擅自销售商品房的处罚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五条：未取得资质等级证书，擅自从事房地产开发经营的，由县级以上地方人民政府工商行政主管部门责令停止房地产开发经营活动，没收违法所得，可以并处违法所得5倍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对未取得商品房预售许可证进行预售的处罚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《城市房地产开发经营管理条例》第三十九条：擅自预售商品房的，由县级以上地方人民政府房地产开发主管部门责令停止违法行为，没收违法所得，可以并处收取的预付款1%以下的罚款。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对将未经验收的房屋交付使用，将验收不合格的房屋交付使用的处罚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房地产开发经营管理条例》第三十六条：未经验收的房屋交付使用的，由县级以上地方人民政府房地产开发主管部门责令限期补办验收手续；逾期不补办手续的，由县级以上人民政府房地产开发主管部门组织有关部门和单位进行验收，并处10万元以上30万元以下罚款；经验收不合格的，依照本条例第三十七条的规定处理。                                                                                   《城市房地产开发经营管理条例》第三十七条：将验收不合格的房屋交付使用的，由县级以上地方人民政府房地产开发主管部门责令限期返修，并处交付使用的房屋总造价2%以下罚款。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《房地产开发企业资质管理规定》</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对房地产开发企业涂改、出租、出借、转让、出卖资质证书的处罚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《房地产开发企业资质管理规定》第二十一条：对房地产开发企业涂改、出租、出借、转让、出卖资质证书的，由原资质审批部门公告资质证书作废，收回证书，并可处1万元以上3万元以下罚款。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r>
              <w:rPr>
                <w:rFonts w:hint="eastAsia" w:ascii="宋体" w:hAnsi="宋体" w:cs="宋体"/>
                <w:color w:val="000000" w:themeColor="text1"/>
                <w:kern w:val="0"/>
                <w:sz w:val="20"/>
                <w:szCs w:val="20"/>
                <w:lang w:eastAsia="zh-CN"/>
                <w14:textFill>
                  <w14:solidFill>
                    <w14:schemeClr w14:val="tx1"/>
                  </w14:solidFill>
                </w14:textFill>
              </w:rPr>
              <w:t>城市房地产开发经营管理条例</w:t>
            </w:r>
            <w:r>
              <w:rPr>
                <w:rFonts w:hint="eastAsia" w:ascii="宋体" w:hAnsi="宋体" w:cs="宋体"/>
                <w:color w:val="000000" w:themeColor="text1"/>
                <w:kern w:val="0"/>
                <w:sz w:val="20"/>
                <w:szCs w:val="20"/>
                <w14:textFill>
                  <w14:solidFill>
                    <w14:schemeClr w14:val="tx1"/>
                  </w14:solidFill>
                </w14:textFill>
              </w:rPr>
              <w:t>》第</w:t>
            </w:r>
            <w:r>
              <w:rPr>
                <w:rFonts w:hint="eastAsia" w:ascii="宋体" w:hAnsi="宋体" w:cs="宋体"/>
                <w:color w:val="000000" w:themeColor="text1"/>
                <w:kern w:val="0"/>
                <w:sz w:val="20"/>
                <w:szCs w:val="20"/>
                <w:lang w:eastAsia="zh-CN"/>
                <w14:textFill>
                  <w14:solidFill>
                    <w14:schemeClr w14:val="tx1"/>
                  </w14:solidFill>
                </w14:textFill>
              </w:rPr>
              <w:t>四</w:t>
            </w:r>
            <w:r>
              <w:rPr>
                <w:rFonts w:hint="eastAsia" w:ascii="宋体" w:hAnsi="宋体" w:cs="宋体"/>
                <w:color w:val="000000" w:themeColor="text1"/>
                <w:kern w:val="0"/>
                <w:sz w:val="20"/>
                <w:szCs w:val="20"/>
                <w14:textFill>
                  <w14:solidFill>
                    <w14:schemeClr w14:val="tx1"/>
                  </w14:solidFill>
                </w14:textFill>
              </w:rPr>
              <w:t>条：县级以上地方人民政府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内的房地产开发经营活动的监督管理工作。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对房地产开发企业在商品住宅销售中不按照规定发放《住宅质量保证书》和《住宅使用说明书》的处罚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房地产开发企业资质管理规定》第二十三条：对房地产开发企业在商品住宅销售中不按照规定发放《住宅质量保证书》和《住宅使用说明书》的，由原资质审批部门予以警告，责令限期改正，降低资质等，并可处1万元以上2万元以下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城市房地产开发经营监督和防务预售的管理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《城市商品房预售管理办法》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第四条：</w:t>
            </w:r>
            <w:r>
              <w:rPr>
                <w:rFonts w:hint="eastAsia" w:ascii="宋体" w:hAnsi="宋体" w:cs="宋体"/>
                <w:color w:val="000000" w:themeColor="text1"/>
                <w:kern w:val="0"/>
                <w:sz w:val="20"/>
                <w:szCs w:val="20"/>
                <w14:textFill>
                  <w14:solidFill>
                    <w14:schemeClr w14:val="tx1"/>
                  </w14:solidFill>
                </w14:textFill>
              </w:rPr>
              <w:t>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内的房地产预售管理。</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对开发企业不按规定使用商品房预售款项的处罚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《城市商品房预售管理办法》第十四条：未按规定使用商品房预售款的，由县级以上地方人民政府房地产开发主管部门责令限期改正，并可处违法所得3倍以下但不超过3万元的罚款。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城城市房地产开发经营监督和防务预售的管理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《城市商品房预售管理办法》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第四条：</w:t>
            </w:r>
            <w:r>
              <w:rPr>
                <w:rFonts w:hint="eastAsia" w:ascii="宋体" w:hAnsi="宋体" w:cs="宋体"/>
                <w:color w:val="000000" w:themeColor="text1"/>
                <w:kern w:val="0"/>
                <w:sz w:val="20"/>
                <w:szCs w:val="20"/>
                <w14:textFill>
                  <w14:solidFill>
                    <w14:schemeClr w14:val="tx1"/>
                  </w14:solidFill>
                </w14:textFill>
              </w:rPr>
              <w:t>县级以上地方人民政府</w:t>
            </w:r>
            <w:r>
              <w:rPr>
                <w:rFonts w:hint="eastAsia" w:ascii="宋体" w:hAnsi="宋体" w:cs="宋体"/>
                <w:color w:val="000000" w:themeColor="text1"/>
                <w:kern w:val="0"/>
                <w:sz w:val="20"/>
                <w:szCs w:val="20"/>
                <w:lang w:eastAsia="zh-CN"/>
                <w14:textFill>
                  <w14:solidFill>
                    <w14:schemeClr w14:val="tx1"/>
                  </w14:solidFill>
                </w14:textFill>
              </w:rPr>
              <w:t>房地产开发主管</w:t>
            </w:r>
            <w:r>
              <w:rPr>
                <w:rFonts w:hint="eastAsia" w:ascii="宋体" w:hAnsi="宋体" w:cs="宋体"/>
                <w:color w:val="000000" w:themeColor="text1"/>
                <w:kern w:val="0"/>
                <w:sz w:val="20"/>
                <w:szCs w:val="20"/>
                <w14:textFill>
                  <w14:solidFill>
                    <w14:schemeClr w14:val="tx1"/>
                  </w14:solidFill>
                </w14:textFill>
              </w:rPr>
              <w:t>部门负责本行政区域</w:t>
            </w:r>
            <w:r>
              <w:rPr>
                <w:rFonts w:hint="eastAsia" w:ascii="宋体" w:hAnsi="宋体" w:cs="宋体"/>
                <w:color w:val="000000" w:themeColor="text1"/>
                <w:kern w:val="0"/>
                <w:sz w:val="20"/>
                <w:szCs w:val="20"/>
                <w:lang w:eastAsia="zh-CN"/>
                <w14:textFill>
                  <w14:solidFill>
                    <w14:schemeClr w14:val="tx1"/>
                  </w14:solidFill>
                </w14:textFill>
              </w:rPr>
              <w:t>内的房地产预售管理。</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对开发企业隐瞒有关情况、提供虚假材料，或者采用欺骗、贿赂等不正当手段取得商品房预售许可的处罚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城市商品房预售管理办法》第十五条：对开发企业隐瞒有关情况、提供虚假材料，或者采用欺骗、贿赂等不正当手段取得商品房预售许可的，由县级以上地方人民政府房地产开发主管部门责令停止销售，撤回预售许可，并可处3万元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对开发企业在未解除商品房买卖合同前，将作为合同标的物的商品房再行销售给他人的处罚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三十九条：对在未解除商品房买卖合同前，将作为合同标的物的商品房再行销售给他人的，由县级以上地方人民政府房地产开发主管部门处以警告，责令限期改正，并处2万元以上3万元以下的罚款；构成犯罪的，依法追究法律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对房地产开发企业未按规定将测绘成果或者需要由其提供的办理房屋权属登记的资料报送房地产行政主管部门的处罚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四十一条：对未按规定将测绘成果或者需要由其提供的办理房屋权属登记的资料报送房地产行政主管部门的，由县级以上地方人民政府房地产开发主管部门处以警告，责令限期改正，并可处2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未按照规定的现售条件现售商品房的；未在商品房现售前将房地产开发项目手册及符合商品房现售条件的有关证明文件报送房地产开发主管部门备案的；采取返本销售或者变相返本销售的方式销售商品房的；采取售后包租或者变相售后包租方式销售未竣工商品房的；分割拆零销售商品住宅的、不符合商品房销售条件，向买受人收取预订款性质费用的；未按照规定向买受人明示《商品房销售管理办法》、《商品房买卖合同示范文本》、《城市商品房预售管理办法》的；委托没有资格的机构代理销售商品房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《商品销售管理办法》第四十二条：对开发企业在销售商品房中有以上行为的，由县级以上地方人民政府房地产开发主管部门处以警告，责令限期改正，并可处1万元以上3万元以下的罚款。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对房地产中介服务机构代理销售不符合销售条件的商品房的处罚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《商品销售管理办法》第四十三条：对房地产中介服务机构代理销售不符合销售条件的商品房的，由县级以上地方人民政府房地产开发主管部门处以警告，责令停止销售，并可处2万元以上3万元以下的罚款。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对开发企业在未解除商品房买卖合同前，将作为合同标的物的商品房再行销售给他人的处罚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三十九条：对在未解除商品房买卖合同前，将作为合同标的物的商品房再行销售给他人的，由县级以上地方人民政府房地产开发主管部门处以警告，责令限期改正，并处2万元以上3万元以下的罚款；构成犯罪的，依法追究法律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对房地产开发企业未按规定将测绘成果或者需要由其提供的办理房屋权属登记的资料报送房地产行政主管部门的处罚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四十一条：对未按规定将测绘成果或者需要由其提供的办理房屋权属登记的资料报送房地产行政主管部门的，由县级以上地方人民政府房地产开发主管部门处以警告，责令限期改正，并可处2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开发企业未按照规定的现售条件现售商品房的；未在商品房现售前将房地产开发项目手册及符合商品房现售条件的有关证明文件报送房地产开发主管部门备案的；采取返本销售或者变相返本销售的方式销售商品房的；采取售后包租或者变相售后包租方式销售未竣工商品房的；分割拆零销售商品住宅的、不符合商品房销售条件，向买受人收取预订款性质费用的；未按照规定向买受人明示《商品房销售管理办法》、《商品房买卖合同示范文本》、《城市商品房预售管理办法》的；委托没有资格的机构代理销售商品房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《商品销售管理办法》第四十二条：对开发企业在销售商品房中有以上行为的，由县级以上地方人民政府房地产开发主管部门处以警告，责令限期改正，并可处1万元以上3万元以下的罚款。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的</w:t>
            </w: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宋体" w:cs="Times New Roman"/>
                <w:color w:val="000000" w:themeColor="text1"/>
                <w:kern w:val="0"/>
                <w:sz w:val="20"/>
                <w:szCs w:val="20"/>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rPr>
                <w:rFonts w:hint="eastAsia" w:ascii="Calibri" w:hAnsi="Calibri" w:eastAsia="宋体" w:cs="Calibri"/>
                <w:color w:val="000000" w:themeColor="text1"/>
                <w:kern w:val="2"/>
                <w:sz w:val="20"/>
                <w:szCs w:val="20"/>
                <w:lang w:val="en-US" w:eastAsia="zh-CN" w:bidi="ar-SA"/>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第五条：县人民政府建设行政主管部门、房地产行政主管部门按照职能分工，负责本行政区域内商品房的销售管理工作。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对房地产中介服务机构代理销售不符合销售条件的商品房的处罚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t>《商品销售管理办法》第四十三条：对房地产中介服务机构代理销售不符合销售条件的商品房的，由县级以上地方人民政府房地产开发主管部门处以警告，责令停止销售，并可处2万元以上3万元以下的罚款。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人员以个人名义承接房地产经纪业务和收取费用的；房地产经纪机构提供代办贷款、代办房地产登记等其他服务，未向委托人说明服务内容、收费标准等情况，并未经委托人同意的；房地产经纪服务合同未由从事该业务的一名房地产经纪人或者两名房地产经纪人协理签名的；房地产经纪机构签订房地产经纪服务合同前，不向交易当事人说明和书面告知规定事项的；房地产经纪机构未如实记录业务情况或者保存房地产经纪服务合同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33条：对房地产经纪机构有以上行为的，由县级以上地方人民政府房地产开发主管部门处以警告，责令限期改正，记入信用档案；对房地产经纪人员处以1万元罚款，对房地产经纪机构处以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对房地产经纪机构擅自对外发布房源信息的处罚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35条：对房地产经纪机构擅自对外发布房源信息的处罚，由县级以上地方人民政府房地产开发主管部门处以警告，责令限期改正，记入信用档案，取消网上签约资格，并处以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对房地产经纪机构擅自划转客户交易结算资金的处罚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《房地产经纪管理办法》第36条：对房地产经纪机构擅自划转客户交易结算资金的，由县级以上地方人民政府房地产开发主管部门处以警告，责令限期改正，取消网上签约资格，处以3万元的罚款。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对房地产经纪机构和房地产经纪人员以隐瞒、欺诈、胁迫、贿赂等不正当手段招揽业务，诱骗消费者交易或者强制交易的处罚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37条：对房地产经纪机构和房地产经纪人员以隐瞒、欺诈、胁迫、贿赂等不正当手段招揽业务，诱骗消费者交易或者强制交易的处罚，由县级以上地方人民政府房地产开发主管部门处以警告，责令限期改正，记入信用档案；对房地产经纪人员处以1万元罚款；对房地产经纪机构，取消网签资格，处以3万元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和房地产经纪人员泄露或者不当使用委托人的个人信息或者商业秘密，谋取不正当利益的；就同一房屋签订不同交易价款的合同提供便利的；改变房屋内部结构分割出租的，侵占、挪用房地产交易资金的；承购、承租自己提供经纪服务的房屋的；为不符合交易条件的保障性住房和禁止交易的房屋提供经纪服务的；违反法律、法规禁止的行为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Style w:val="20"/>
                <w:color w:val="000000" w:themeColor="text1"/>
                <w:sz w:val="20"/>
                <w:szCs w:val="20"/>
                <w:lang w:val="en-US" w:eastAsia="zh-CN" w:bidi="ar"/>
                <w14:textFill>
                  <w14:solidFill>
                    <w14:schemeClr w14:val="tx1"/>
                  </w14:solidFill>
                </w14:textFill>
              </w:rPr>
              <w:t>《房地产经纪管理办法》第34条：对房地产经纪机构有以上行为的，由县级以上地方人民政府</w:t>
            </w:r>
            <w:r>
              <w:rPr>
                <w:rFonts w:hint="default" w:ascii="等线" w:hAnsi="等线" w:eastAsia="等线" w:cs="等线"/>
                <w:b/>
                <w:i w:val="0"/>
                <w:color w:val="000000" w:themeColor="text1"/>
                <w:kern w:val="0"/>
                <w:sz w:val="20"/>
                <w:szCs w:val="20"/>
                <w:u w:val="none"/>
                <w:lang w:val="en-US" w:eastAsia="zh-CN" w:bidi="ar"/>
                <w14:textFill>
                  <w14:solidFill>
                    <w14:schemeClr w14:val="tx1"/>
                  </w14:solidFill>
                </w14:textFill>
              </w:rPr>
              <w:t>价格主管</w:t>
            </w:r>
            <w:r>
              <w:rPr>
                <w:rStyle w:val="20"/>
                <w:color w:val="000000" w:themeColor="text1"/>
                <w:sz w:val="20"/>
                <w:szCs w:val="20"/>
                <w:lang w:val="en-US" w:eastAsia="zh-CN" w:bidi="ar"/>
                <w14:textFill>
                  <w14:solidFill>
                    <w14:schemeClr w14:val="tx1"/>
                  </w14:solidFill>
                </w14:textFill>
              </w:rPr>
              <w:t>部门按照价格法律、法规和规章的规定，责令改正，没收违法所得；情节严重的，依法停业整顿等行政处罚。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人员以个人名义承接房地产经纪业务和收取费用的；房地产经纪机构提供代办贷款、代办房地产登记等其他服务，未向委托人说明服务内容、收费标准等情况，并未经委托人同意的；房地产经纪服务合同未由从事该业务的一名房地产经纪人或者两名房地产经纪人协理签名的；房地产经纪机构签订房地产经纪服务合同前，不向交易当事人说明和书面告知规定事项的；房地产经纪机构未如实记录业务情况或者保存房地产经纪服务合同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33条：对房地产经纪机构有以上行为的，由县级以上地方人民政府房地产开发主管部门处以警告，责令限期改正，记入信用档案；对房地产经纪人员处以1万元罚款，对房地产经纪机构处以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对房地产经纪机构擅自对外发布房源信息的处罚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35条：对房地产经纪机构擅自对外发布房源信息的处罚，由县级以上地方人民政府房地产开发主管部门处以警告，责令限期改正，记入信用档案，取消网上签约资格，并处以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对房地产经纪机构擅自划转客户交易结算资金的处罚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《房地产经纪管理办法》第36条：对房地产经纪机构擅自划转客户交易结算资金的，由县级以上地方人民政府房地产开发主管部门处以警告，责令限期改正，取消网上签约资格，处以3万元的罚款。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对房地产经纪机构和房地产经纪人员以隐瞒、欺诈、胁迫、贿赂等不正当手段招揽业务，诱骗消费者交易或者强制交易的处罚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37条：对房地产经纪机构和房地产经纪人员以隐瞒、欺诈、胁迫、贿赂等不正当手段招揽业务，诱骗消费者交易或者强制交易的处罚，由县级以上地方人民政府房地产开发主管部门处以警告，责令限期改正，记入信用档案；对房地产经纪人员处以1万元罚款；对房地产经纪机构，取消网签资格，处以3万元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和房地产经纪人员泄露或者不当使用委托人的个人信息或者商业秘密，谋取不正当利益的；就同一房屋签订不同交易价款的合同提供便利的；改变房屋内部结构分割出租的，侵占、挪用房地产交易资金的；承购、承租自己提供经纪服务的房屋的；为不符合交易条件的保障性住房和禁止交易的房屋提供经纪服务的；违反法律、法规禁止的行为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Style w:val="20"/>
                <w:color w:val="000000" w:themeColor="text1"/>
                <w:sz w:val="20"/>
                <w:szCs w:val="20"/>
                <w:lang w:val="en-US" w:eastAsia="zh-CN" w:bidi="ar"/>
                <w14:textFill>
                  <w14:solidFill>
                    <w14:schemeClr w14:val="tx1"/>
                  </w14:solidFill>
                </w14:textFill>
              </w:rPr>
              <w:t>《房地产经纪管理办法》第34条：对房地产经纪机构有以上行为的，由县级以上地方人民政府</w:t>
            </w:r>
            <w:r>
              <w:rPr>
                <w:rFonts w:hint="default" w:ascii="等线" w:hAnsi="等线" w:eastAsia="等线" w:cs="等线"/>
                <w:b/>
                <w:i w:val="0"/>
                <w:color w:val="000000" w:themeColor="text1"/>
                <w:kern w:val="0"/>
                <w:sz w:val="20"/>
                <w:szCs w:val="20"/>
                <w:u w:val="none"/>
                <w:lang w:val="en-US" w:eastAsia="zh-CN" w:bidi="ar"/>
                <w14:textFill>
                  <w14:solidFill>
                    <w14:schemeClr w14:val="tx1"/>
                  </w14:solidFill>
                </w14:textFill>
              </w:rPr>
              <w:t>价格主管</w:t>
            </w:r>
            <w:r>
              <w:rPr>
                <w:rStyle w:val="20"/>
                <w:color w:val="000000" w:themeColor="text1"/>
                <w:sz w:val="20"/>
                <w:szCs w:val="20"/>
                <w:lang w:val="en-US" w:eastAsia="zh-CN" w:bidi="ar"/>
                <w14:textFill>
                  <w14:solidFill>
                    <w14:schemeClr w14:val="tx1"/>
                  </w14:solidFill>
                </w14:textFill>
              </w:rPr>
              <w:t>部门按照价格法律、法规和规章的规定，责令改正，没收违法所得；情节严重的，依法停业整顿等行政处罚。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人员以个人名义承接房地产经纪业务和收取费用的；房地产经纪机构提供代办贷款、代办房地产登记等其他服务，未向委托人说明服务内容、收费标准等情况，并未经委托人同意的；房地产经纪服务合同未由从事该业务的一名房地产经纪人或者两名房地产经纪人协理签名的；房地产经纪机构签订房地产经纪服务合同前，不向交易当事人说明和书面告知规定事项的；房地产经纪机构未如实记录业务情况或者保存房地产经纪服务合同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33条：对房地产经纪机构有以上行为的，由县级以上地方人民政府房地产开发主管部门处以警告，责令限期改正，记入信用档案；对房地产经纪人员处以1万元罚款，对房地产经纪机构处以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对房地产经纪机构擅自对外发布房源信息的处罚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35条：对房地产经纪机构擅自对外发布房源信息的处罚，由县级以上地方人民政府房地产开发主管部门处以警告，责令限期改正，记入信用档案，取消网上签约资格，并处以1万元以上3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对房地产经纪机构擅自划转客户交易结算资金的处罚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《房地产经纪管理办法》第36条：对房地产经纪机构擅自划转客户交易结算资金的，由县级以上地方人民政府房地产开发主管部门处以警告，责令限期改正，取消网上签约资格，处以3万元的罚款。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对当事人伪造、涂改、转借、转让房屋租赁登记备案凭证的处罚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37条：对房地产经纪机构和房地产经纪人员以隐瞒、欺诈、胁迫、贿赂等不正当手段招揽业务，诱骗消费者交易或者强制交易的处罚，由县级以上地方人民政府房地产开发主管部门处以警告，责令限期改正，记入信用档案；对房地产经纪人员处以1万元罚款；对房地产经纪机构，取消网签资格，处以3万元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第五条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县人民政府建设行政主管部门、房地产行政主管部门、价格部门、人力资源部门和社会保障部门按照职能分工，分别负责本行政区域内商品房的销售管理工作。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Style w:val="21"/>
                <w:color w:val="000000" w:themeColor="text1"/>
                <w:sz w:val="20"/>
                <w:szCs w:val="20"/>
                <w:lang w:val="en-US" w:eastAsia="zh-CN" w:bidi="ar"/>
                <w14:textFill>
                  <w14:solidFill>
                    <w14:schemeClr w14:val="tx1"/>
                  </w14:solidFill>
                </w14:textFill>
              </w:rPr>
              <w:t>对以隐瞒、欺诈、胁迫、贿赂等不正当手段招揽业务，诱骗消费者交易或者强制交易，泄露或者不当使用委托人的个人信息或者商业秘密，谋取不正当利益、为交易当事人规避房屋交易税费等非法目的，就同一房屋签订不同交易价款的合同提供便利、改变房屋内部结构分割出租、 侵占、挪用房地产交易资金；承购、承租自己提供经纪服务的房屋, 侵占、挪用房地产交易资金、为不符合交易条件的保障性住房和禁止交易的房屋提供经纪服务的处罚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房地产经纪管理办法》第37条：对房地产经纪机构和房地产经纪人员以隐瞒、欺诈、胁迫、贿赂等不正当手段招揽业务，诱骗消费者交易或者强制交易的处罚，由县级以上地方人民政府房地产开发主管部门处以警告，责令限期改正，记入信用档案；对房地产经纪人员处以1万元罚款；对房地产经纪机构，取消网签资格，处以3万元罚款。                                                            《房地产经纪管理办法》第34条：对房地产经纪机构有以上行为的，由县级以上地方人民政府价格主管部门按照价格法律、法规和规章的规定，责令改正，没收违法所得；情节严重的，依法停业整顿等行政处罚。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对住宅物业的建设单位未通过招投标的方式选聘物业服务企业或者未经批准，擅自采用协议方式选聘物业服务企业的处罚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57条：对住宅物业的建设单位未通过招投标的方式选聘物业服务企业或者未经批准，擅自采用协议方式选聘物业服务企业的，由县级以上地方人民政府房地产主管部门责令限期改正，给予警告，可以并处10万元以下的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对建设单位、物业服务企业擅自处分业主的物业共用部位、共用设施设备的所有权或者使用权的处罚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58条：对建设单位、物业服务企业擅自处分业主的物业共用部位、共用设施设备的所有权或者使用权的，由县级以上地方人民政府房地产主管部门没收违法所得，并处5万元以上20万元以下的处罚；给业主造成损失的，依法承担赔偿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对建设单位、物业服务企业不移交有关资料的或者逾期仍不移交有关资料的处罚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59条：对建设单位、物业服务企业不移交有关资料的或者逾期仍不移交有关资料的，由县级以上地方人民政府房地产主管部门责令限期整改；逾期仍不移交有关资料的，对建设单位、物业服务企业予以通报，处1万元以上10万元以下的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对未取得资质证书从事物业管理或者以欺骗手段取得物业资质证书的处罚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《物业管理条例》第60条：未取得资质证书从事物业管理的，由县级以上地方人民政府房地产行政主管部门没收违法所得，并处5万元以上20万元以下的罚款;给业主造成损失的，依法承担赔偿责任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对物业服务企业将一个物业管理区域内的全部物业管理一并委托给他人的处罚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《物业管理条例》第六十二条 违反本条例的规定，物业服务企业将一个物业管理区域内的全部物业管理一并委托给他人的，由县级以上地方人民政府房地产行政主管部门责令限期改正，处委托合同价款30%以上50%以下的罚款;情节严重的，由颁发资质证书的部门吊销资质证书。委托所得收益，用于物业管理区域内物业共用部位、共用设施设备的维修、养护，剩余部分按照业主大会的决定使用;给业主造成损失的，依法承担赔偿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对物业管理企业挪用住宅专项维修基金的处罚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《物业管理条例》第六十三条 违反本条例的规定，挪用专项维修资金的，由县级以上地方人民政府房地产行政主管部门追回挪用的专项维修资金，给予警告，没收违法所得，可以并处挪用数额2倍以下的罚款;物业服务企业挪用专项维修资金，情节严重的，并由颁发资质证书的部门吊销资质证书;构成犯罪的，依法追究直接负责的主管人员和其他直接责任人员的刑事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对建设单位在物业管理区域内不按照规定配置必要的物业管理用房的处罚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afterAutospacing="0"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《物业管理条例》第六十四条 违反本条例的规定，建设单位在物业管理区域内不按照规定配置必要的物业管理用房的，由县级以上地方人民政府房地产行政主管部门责令限期改正，给予警告，没收违法所得，并处10万元以上50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业主或者物业服务企业擅自改变物业管理区域内按照规划建设的公共建筑和共用设施用途的业主或者物业服务企业擅自占用挖掘物业管理区域内道路场地损害业主共同利益的；擅自利用物业共用部位共用设施设备进行经营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《物业管理条例》第六十六条 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(一)擅自改变物业管理区域内按照规划建设的公共建筑和共用设施用途的;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(二)擅自占用、挖掘物业管理区域内道路、场地，损害业主共同利益的;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(三)擅自利用物业共用部位、共用设施设备进行经营的。</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个人有前款规定行为之一的，处1000元以上1万元以下的罚款;单位有前款规定行为之一的，处5万元以上20万元以下的罚款。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对物业服务企业超越资质等级承接物业管理业务或者出租、出借、转让资质证书的处罚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《四川物业管理条例》第七十五条 物业服务企业违反本条例规定，有下列行为之一的，由县级以上地方人民政府房地产行政主管部门予以处罚:</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一)违反本条例第四十四条规定从事与其资质等级不相符合的物业服务活动或者以转让、出租、出借、挂靠等形式变相转让物业服务企业资质证书的，责令限期改正，逾期未改正的，处5万元以下15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对开发建设单位、物业服务企业、其他管理人、服务机构不按规定申报在物业管理活动中的信用信息的处罚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《四川物业管理条例》第七十五条 物业服务企业违反本条例规定，有下列行为之一的，由县级以上地方人民政府房地产行政主管部门予以处罚:</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(二)违反本条例第四十九条规定未报送信用档案信息、统计报表等相关资料的，责令限期改正;逾期未改正的，处1千元以上5千元以下的罚款;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对物业服务企业或者其他管理人应当退出但拒绝退出建筑区划的物业服务的；物业服务企业违反规定擅自撤离物业管理区域、停止物业服务，未履行相应告知和</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交接</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义务的处罚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《四川物业管理条例》第七十五条 物业服务企业违反本条例规定，有下列行为之一的，由县级以上地方人民政府房地产行政主管部门予以处罚:</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(二)违反本条例第四十九条规定未报送信用档案信息、统计报表等相关资料的，责令限期改正;逾期未改正的，处1千元以上5千元以下的罚款;</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(三)违反本条例第五十三条规定擅自撤离物业管理区域、停止物业服务，未履行相应告知和交接义务的，责令限期改正;逾期未改正的，处5万元以下的罚款;</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(四)未按本条例第五十四条规定退出物业管理区域的，责令限期退出;逾期拒不退出的，处5万元以上15万元以下的罚款。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对专业经营单位未履行维修、养护、更新等义务及承担相关费用的处罚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四川物业管理条例》第76条供水、供电、供气等专业经营单位违反本条例第十五条、第十六条规定，无正当理由拒绝、拖延组织安装施工或者拒绝接收住宅物业管理区域内专业经营设施设备的，由县级以上地方人民政府房地产行政主管部门责令限期改正。影响房屋交付使用、业主正常生活或者造成人身、财产损害的，专业经营单位应当承担相应的赔偿责任。</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专业经营单位未按本条例第七十二条规定履行维修、养护、更新等义务及承担相关费用的，由县级以上地方人民政府房地产行政主管部门责令限期改正，逾期未改正的，处10万元以上30万元以下的罚款。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对开发建设单位拒不承担筹备组工作经费和首次业主大会会议经费的处罚</w:t>
            </w:r>
          </w:p>
        </w:tc>
        <w:tc>
          <w:tcPr>
            <w:tcW w:w="556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《四川物业管理条例》第74条 建设单位违反本条例规定，有下列行为之一的，由县级以上地方人民政府房地产行政主管部门予以处罚:</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(一)未按本条例第十二条规定配置或者擅自处分物业服务用房和业主委员会议事活动用房的，责令限期改正，没收违法所得，并处10万元以上50万元以下的罚款。</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(二)未按本条例第二十一条规定报告申请设立业主大会或者违反本条例第二十三条规定拒不承担筹备组工作经费和首次业主大会会议经费的，责令限期改正;逾期未改正的，处5万元以上15万元以下的罚款;</w:t>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br w:type="textWrapping"/>
            </w: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(三)违反本条例第三十六条规定，未通过招投标的方式选聘物业服务企业或者未经批准，擅自采用协议方式选聘物业服务企业的，责令限期改正，逾期未改正的，给予警告，并处2万元以上10万元以下的罚款;</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对住宅物业的建设单位未通过招投标的方式选聘物业服务企业或者未经批准，擅自采用协议方式选聘物业服务企业的处罚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57条：对住宅物业的建设单位未通过招投标的方式选聘物业服务企业或者未经批准，擅自采用协议方式选聘物业服务企业的，由县级以上地方人民政府房地产主管部门责令限期改正，给予警告，可以并处10万元以下的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对建设单位、物业服务企业擅自处分业主的物业共用部位、共用设施设备的所有权或者使用权的处罚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58条：对建设单位、物业服务企业擅自处分业主的物业共用部位、共用设施设备的所有权或者使用权的，由县级以上地方人民政府房地产主管部门没收违法所得，并处5万元以上20万元以下的处罚；给业主造成损失的，依法承担赔偿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对建设单位、物业服务企业不移交有关资料的或者逾期仍不移交有关资料的处罚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59条：对建设单位、物业服务企业不移交有关资料的或者逾期仍不移交有关资料的，由县级以上地方人民政府房地产主管部门责令限期整改；逾期仍不移交有关资料的，对建设单位、物业服务企业予以通报，处1万元以上10万元以下的处罚。</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对未取得资质证书从事物业管理或者以欺骗手段取得物业资质证书的处罚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《物业管理条例》第60条：未取得资质证书从事物业管理的，由县级以上地方人民政府房地产行政主管部门没收违法所得，并处5万元以上20万元以下的罚款;给业主造成损失的，依法承担赔偿责任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对物业服务企业将一个物业管理区域内的全部物业管理一并委托给他人的处罚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《物业管理条例》第六十二条 违反本条例的规定，物业服务企业将一个物业管理区域内的全部物业管理一并委托给他人的，由县级以上地方人民政府房地产行政主管部门责令限期改正，处委托合同价款30%以上50%以下的罚款;情节严重的，由颁发资质证书的部门吊销资质证书。委托所得收益，用于物业管理区域内物业共用部位、共用设施设备的维修、养护，剩余部分按照业主大会的决定使用;给业主造成损失的，依法承担赔偿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物业管理活动的监督管理</w:t>
            </w:r>
          </w:p>
        </w:tc>
        <w:tc>
          <w:tcPr>
            <w:tcW w:w="5355" w:type="dxa"/>
            <w:tcBorders>
              <w:top w:val="single" w:color="000000" w:sz="4" w:space="0"/>
              <w:left w:val="single" w:color="000000" w:sz="4" w:space="0"/>
              <w:bottom w:val="single" w:color="000000" w:sz="4" w:space="0"/>
              <w:right w:val="single" w:color="000000" w:sz="4" w:space="0"/>
            </w:tcBorders>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cs="Times New Roman"/>
                <w:color w:val="000000" w:themeColor="text1"/>
                <w:sz w:val="20"/>
                <w:szCs w:val="20"/>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w:t>
            </w:r>
            <w:r>
              <w:rPr>
                <w:rFonts w:hint="eastAsia" w:ascii="等线" w:hAnsi="等线" w:eastAsia="等线" w:cs="等线"/>
                <w:i w:val="0"/>
                <w:color w:val="000000" w:themeColor="text1"/>
                <w:kern w:val="0"/>
                <w:sz w:val="20"/>
                <w:szCs w:val="20"/>
                <w:u w:val="none"/>
                <w:lang w:val="en-US" w:eastAsia="zh-CN" w:bidi="ar"/>
                <w14:textFill>
                  <w14:solidFill>
                    <w14:schemeClr w14:val="tx1"/>
                  </w14:solidFill>
                </w14:textFill>
              </w:rPr>
              <w:t>第三条：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县人民政府建设行政主管部门、房地产行政主管部门按照职能分工，负责本行政区域内物业管理活动的监督管理工作。</w:t>
            </w:r>
          </w:p>
        </w:tc>
        <w:tc>
          <w:tcPr>
            <w:tcW w:w="24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对物业管理企业挪用住宅专项维修基金的处罚</w:t>
            </w:r>
          </w:p>
        </w:tc>
        <w:tc>
          <w:tcPr>
            <w:tcW w:w="5568"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bottom"/>
              <w:rPr>
                <w:rFonts w:ascii="宋体" w:hAnsi="Calibri" w:eastAsia="宋体" w:cs="Times New Roman"/>
                <w:color w:val="000000" w:themeColor="text1"/>
                <w:kern w:val="0"/>
                <w:sz w:val="20"/>
                <w:szCs w:val="20"/>
                <w:lang w:val="en-US" w:eastAsia="zh-CN" w:bidi="ar-SA"/>
                <w14:textFill>
                  <w14:solidFill>
                    <w14:schemeClr w14:val="tx1"/>
                  </w14:solidFill>
                </w14:textFill>
              </w:rPr>
            </w:pPr>
            <w:r>
              <w:rPr>
                <w:rFonts w:hint="default" w:ascii="等线" w:hAnsi="等线" w:eastAsia="等线" w:cs="等线"/>
                <w:i w:val="0"/>
                <w:color w:val="000000" w:themeColor="text1"/>
                <w:kern w:val="0"/>
                <w:sz w:val="20"/>
                <w:szCs w:val="20"/>
                <w:u w:val="none"/>
                <w:lang w:val="en-US" w:eastAsia="zh-CN" w:bidi="ar"/>
                <w14:textFill>
                  <w14:solidFill>
                    <w14:schemeClr w14:val="tx1"/>
                  </w14:solidFill>
                </w14:textFill>
              </w:rPr>
              <w:t>《物业管理条例》第六十三条 违反本条例的规定，挪用专项维修资金的，由县级以上地方人民政府房地产行政主管部门追回挪用的专项维修资金，给予警告，没收违法所得，可以并处挪用数额2倍以下的罚款;物业服务企业挪用专项维修资金，情节严重的，并由颁发资质证书的部门吊销资质证书;构成犯罪的，依法追究直接负责的主管人员和其他直接责任人员的刑事责任。</w:t>
            </w:r>
          </w:p>
        </w:tc>
      </w:tr>
      <w:tr>
        <w:tblPrEx>
          <w:tblCellMar>
            <w:top w:w="0" w:type="dxa"/>
            <w:left w:w="108" w:type="dxa"/>
            <w:bottom w:w="0" w:type="dxa"/>
            <w:right w:w="108" w:type="dxa"/>
          </w:tblCellMar>
        </w:tblPrEx>
        <w:trPr>
          <w:trHeight w:val="960" w:hRule="atLeast"/>
        </w:trPr>
        <w:tc>
          <w:tcPr>
            <w:tcW w:w="139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建筑起重机械首次出租及首次安装前备案</w:t>
            </w:r>
          </w:p>
        </w:tc>
        <w:tc>
          <w:tcPr>
            <w:tcW w:w="535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建筑起重机械安全监督管理规定》第五条出租单位在建筑起重机械首次出租前，自购建筑起重机械的使用单位在建筑起重机械首次安装前，应当持建筑起重机械特种设备制造许可证、产品合格证和制造监督检验证明到本单位工商注册所在地县级以上地方人民政府建设主管部门办理备案。</w:t>
            </w:r>
          </w:p>
        </w:tc>
        <w:tc>
          <w:tcPr>
            <w:tcW w:w="2472"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出租单位在建筑起重机械首次出租前，自购建筑起重机械的使用单位在建筑起重机械首次安装前。</w:t>
            </w:r>
          </w:p>
        </w:tc>
        <w:tc>
          <w:tcPr>
            <w:tcW w:w="5568"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ind w:firstLine="560"/>
              <w:rPr>
                <w:rFonts w:ascii="宋体" w:cs="Times New Roman"/>
                <w:color w:val="000000" w:themeColor="text1"/>
                <w:kern w:val="0"/>
                <w:sz w:val="20"/>
                <w:szCs w:val="20"/>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符合</w:t>
            </w:r>
            <w:r>
              <w:rPr>
                <w:rFonts w:hint="eastAsia" w:ascii="宋体" w:cs="Times New Roman"/>
                <w:color w:val="000000" w:themeColor="text1"/>
                <w:kern w:val="0"/>
                <w:sz w:val="20"/>
                <w:szCs w:val="20"/>
                <w:lang w:eastAsia="zh-CN"/>
                <w14:textFill>
                  <w14:solidFill>
                    <w14:schemeClr w14:val="tx1"/>
                  </w14:solidFill>
                </w14:textFill>
              </w:rPr>
              <w:t>相关</w:t>
            </w:r>
            <w:r>
              <w:rPr>
                <w:rFonts w:ascii="宋体" w:cs="Times New Roman"/>
                <w:color w:val="000000" w:themeColor="text1"/>
                <w:sz w:val="20"/>
                <w:szCs w:val="20"/>
                <w14:textFill>
                  <w14:solidFill>
                    <w14:schemeClr w14:val="tx1"/>
                  </w14:solidFill>
                </w14:textFill>
              </w:rPr>
              <w:t>规定；</w:t>
            </w:r>
            <w:r>
              <w:rPr>
                <w:rFonts w:hint="eastAsia" w:ascii="宋体" w:cs="Times New Roman"/>
                <w:color w:val="000000" w:themeColor="text1"/>
                <w:sz w:val="20"/>
                <w:szCs w:val="20"/>
                <w:lang w:eastAsia="zh-CN"/>
                <w14:textFill>
                  <w14:solidFill>
                    <w14:schemeClr w14:val="tx1"/>
                  </w14:solidFill>
                </w14:textFill>
              </w:rPr>
              <w:t>资料齐全</w:t>
            </w:r>
            <w:r>
              <w:rPr>
                <w:rFonts w:hint="eastAsia" w:ascii="宋体" w:cs="Times New Roman"/>
                <w:color w:val="000000" w:themeColor="text1"/>
                <w:sz w:val="20"/>
                <w:szCs w:val="20"/>
                <w14:textFill>
                  <w14:solidFill>
                    <w14:schemeClr w14:val="tx1"/>
                  </w14:solidFill>
                </w14:textFill>
              </w:rPr>
              <w:t>，</w:t>
            </w:r>
            <w:r>
              <w:rPr>
                <w:rFonts w:hint="eastAsia" w:ascii="宋体" w:cs="Times New Roman"/>
                <w:color w:val="000000" w:themeColor="text1"/>
                <w:sz w:val="20"/>
                <w:szCs w:val="20"/>
                <w:lang w:val="en-US" w:eastAsia="zh-CN"/>
                <w14:textFill>
                  <w14:solidFill>
                    <w14:schemeClr w14:val="tx1"/>
                  </w14:solidFill>
                </w14:textFill>
              </w:rPr>
              <w:t>7</w:t>
            </w:r>
            <w:r>
              <w:rPr>
                <w:rFonts w:hint="eastAsia" w:ascii="宋体" w:cs="Times New Roman"/>
                <w:color w:val="000000" w:themeColor="text1"/>
                <w:sz w:val="20"/>
                <w:szCs w:val="20"/>
                <w14:textFill>
                  <w14:solidFill>
                    <w14:schemeClr w14:val="tx1"/>
                  </w14:solidFill>
                </w14:textFill>
              </w:rPr>
              <w:t>个工作日。</w:t>
            </w:r>
          </w:p>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p>
        </w:tc>
      </w:tr>
      <w:tr>
        <w:tblPrEx>
          <w:tblCellMar>
            <w:top w:w="0" w:type="dxa"/>
            <w:left w:w="108" w:type="dxa"/>
            <w:bottom w:w="0" w:type="dxa"/>
            <w:right w:w="108" w:type="dxa"/>
          </w:tblCellMar>
        </w:tblPrEx>
        <w:trPr>
          <w:trHeight w:val="960" w:hRule="atLeast"/>
        </w:trPr>
        <w:tc>
          <w:tcPr>
            <w:tcW w:w="13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建筑起重机械使用登记</w:t>
            </w:r>
          </w:p>
        </w:tc>
        <w:tc>
          <w:tcPr>
            <w:tcW w:w="53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《建筑起重机械安全监督管理规定》（建设部令第166号）　第十七条、《建筑起重机械备案登记办法》　第十五条</w:t>
            </w:r>
          </w:p>
        </w:tc>
        <w:tc>
          <w:tcPr>
            <w:tcW w:w="24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tc>
        <w:tc>
          <w:tcPr>
            <w:tcW w:w="55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建筑起重机械使用单位在建筑起重机械安装验收合格之日起30日内，向工程所在地县级以上地方人民政府建设主管部门（以下简称“使用登记机关”）办理使用登记。 使用登记机关应当自收到使用单位提交的资料之日起7个工作日内，对于符合登记条件且资料齐全的建筑起重机械核发建筑起重机械使用登记证明。</w:t>
            </w:r>
          </w:p>
        </w:tc>
      </w:tr>
      <w:tr>
        <w:tblPrEx>
          <w:tblCellMar>
            <w:top w:w="0" w:type="dxa"/>
            <w:left w:w="108" w:type="dxa"/>
            <w:bottom w:w="0" w:type="dxa"/>
            <w:right w:w="108" w:type="dxa"/>
          </w:tblCellMar>
        </w:tblPrEx>
        <w:trPr>
          <w:trHeight w:val="960" w:hRule="atLeast"/>
        </w:trPr>
        <w:tc>
          <w:tcPr>
            <w:tcW w:w="13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建设工程质量监督备案</w:t>
            </w:r>
          </w:p>
        </w:tc>
        <w:tc>
          <w:tcPr>
            <w:tcW w:w="53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color w:val="000000" w:themeColor="text1"/>
                <w:sz w:val="20"/>
                <w:szCs w:val="20"/>
                <w14:textFill>
                  <w14:solidFill>
                    <w14:schemeClr w14:val="tx1"/>
                  </w14:solidFill>
                </w14:textFill>
              </w:rPr>
              <w:t>　《建设工程质量管理条例》</w:t>
            </w:r>
            <w:r>
              <w:rPr>
                <w:rFonts w:hint="eastAsia"/>
                <w:color w:val="000000" w:themeColor="text1"/>
                <w:sz w:val="20"/>
                <w:szCs w:val="20"/>
                <w:lang w:eastAsia="zh-CN"/>
                <w14:textFill>
                  <w14:solidFill>
                    <w14:schemeClr w14:val="tx1"/>
                  </w14:solidFill>
                </w14:textFill>
              </w:rPr>
              <w:t>第十三条</w:t>
            </w:r>
          </w:p>
        </w:tc>
        <w:tc>
          <w:tcPr>
            <w:tcW w:w="24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color w:val="000000" w:themeColor="text1"/>
                <w:sz w:val="20"/>
                <w:szCs w:val="20"/>
                <w14:textFill>
                  <w14:solidFill>
                    <w14:schemeClr w14:val="tx1"/>
                  </w14:solidFill>
                </w14:textFill>
              </w:rPr>
              <w:t>建设单位在领取施工许可证或者开工报告前，应当按照国家有关规定办理工程质量监督手续。</w:t>
            </w:r>
          </w:p>
        </w:tc>
        <w:tc>
          <w:tcPr>
            <w:tcW w:w="55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lang w:eastAsia="zh-CN"/>
                <w14:textFill>
                  <w14:solidFill>
                    <w14:schemeClr w14:val="tx1"/>
                  </w14:solidFill>
                </w14:textFill>
              </w:rPr>
              <w:t>符合报监规定，提交资料后</w:t>
            </w:r>
            <w:r>
              <w:rPr>
                <w:rFonts w:hint="eastAsia" w:ascii="宋体" w:cs="Times New Roman"/>
                <w:color w:val="000000" w:themeColor="text1"/>
                <w:kern w:val="0"/>
                <w:sz w:val="20"/>
                <w:szCs w:val="20"/>
                <w:lang w:val="en-US" w:eastAsia="zh-CN"/>
                <w14:textFill>
                  <w14:solidFill>
                    <w14:schemeClr w14:val="tx1"/>
                  </w14:solidFill>
                </w14:textFill>
              </w:rPr>
              <w:t>7个工作日</w:t>
            </w:r>
          </w:p>
        </w:tc>
      </w:tr>
      <w:tr>
        <w:tblPrEx>
          <w:tblCellMar>
            <w:top w:w="0" w:type="dxa"/>
            <w:left w:w="108" w:type="dxa"/>
            <w:bottom w:w="0" w:type="dxa"/>
            <w:right w:w="108" w:type="dxa"/>
          </w:tblCellMar>
        </w:tblPrEx>
        <w:trPr>
          <w:trHeight w:val="960" w:hRule="atLeast"/>
        </w:trPr>
        <w:tc>
          <w:tcPr>
            <w:tcW w:w="13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建筑起重机械安装、拆卸告知</w:t>
            </w:r>
          </w:p>
        </w:tc>
        <w:tc>
          <w:tcPr>
            <w:tcW w:w="53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《建筑起重机械安全监督管理规定》第十二条　安装单位应当履行下列安全职责：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（一）按照安全技术标准及建筑起重机械性能要求，编制建筑起重机械安装、拆卸工程专项施工方案，并由本单位技术负责人签字；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（二）按照安全技术标准及安装使用说明书等检查建筑起重机械及现场施工条件；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（三）组织安全施工技术交底并签字确认；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（四）制定建筑起重机械安装、拆卸工程生产安全事故应急救援预案；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（五）将建筑起重机械安装、拆卸工程专项施工方案，安装、拆卸人员名单，安装、拆卸时间等材料报施工总承包单位和监理单位审核后，告知工程所在地县级以上地方人民政府建设主管部门。</w:t>
            </w:r>
          </w:p>
        </w:tc>
        <w:tc>
          <w:tcPr>
            <w:tcW w:w="24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（一）按照安全技术标准及建筑起重机械性能要求，编制建筑起重机械安装、拆卸工程专项施工方案，并由本单位技术负责人签字；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（二）按照安全技术标准及安装使用说明书等检查建筑起重机械及现场施工条件；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（三）组织安全施工技术交底并签字确认；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（四）制定建筑起重机械安装、拆卸工程生产安全事故应急救援预案；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（五）将建筑起重机械安装、拆卸工程专项施工方案，安装、拆卸人员名单，安装、拆卸时间等材料报施工总承包单位和监理单位审核后，告知工程所在地县级以上地方人民政府建设主管部门。</w:t>
            </w:r>
          </w:p>
        </w:tc>
        <w:tc>
          <w:tcPr>
            <w:tcW w:w="55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lang w:eastAsia="zh-CN"/>
                <w14:textFill>
                  <w14:solidFill>
                    <w14:schemeClr w14:val="tx1"/>
                  </w14:solidFill>
                </w14:textFill>
              </w:rPr>
            </w:pPr>
            <w:r>
              <w:rPr>
                <w:rFonts w:hint="eastAsia" w:ascii="宋体" w:cs="Times New Roman"/>
                <w:color w:val="000000" w:themeColor="text1"/>
                <w:kern w:val="0"/>
                <w:sz w:val="20"/>
                <w:szCs w:val="20"/>
                <w:lang w:eastAsia="zh-CN"/>
                <w14:textFill>
                  <w14:solidFill>
                    <w14:schemeClr w14:val="tx1"/>
                  </w14:solidFill>
                </w14:textFill>
              </w:rPr>
              <w:t>资料齐全，法定时限：20工作日</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lang w:eastAsia="zh-CN"/>
                <w14:textFill>
                  <w14:solidFill>
                    <w14:schemeClr w14:val="tx1"/>
                  </w14:solidFill>
                </w14:textFill>
              </w:rPr>
              <w:t>　　承诺时限：</w:t>
            </w:r>
            <w:r>
              <w:rPr>
                <w:rFonts w:hint="eastAsia" w:ascii="宋体" w:cs="Times New Roman"/>
                <w:color w:val="000000" w:themeColor="text1"/>
                <w:kern w:val="0"/>
                <w:sz w:val="20"/>
                <w:szCs w:val="20"/>
                <w:lang w:val="en-US" w:eastAsia="zh-CN"/>
                <w14:textFill>
                  <w14:solidFill>
                    <w14:schemeClr w14:val="tx1"/>
                  </w14:solidFill>
                </w14:textFill>
              </w:rPr>
              <w:t>10个工作日</w:t>
            </w:r>
          </w:p>
        </w:tc>
      </w:tr>
      <w:tr>
        <w:tblPrEx>
          <w:tblCellMar>
            <w:top w:w="0" w:type="dxa"/>
            <w:left w:w="108" w:type="dxa"/>
            <w:bottom w:w="0" w:type="dxa"/>
            <w:right w:w="108" w:type="dxa"/>
          </w:tblCellMar>
        </w:tblPrEx>
        <w:trPr>
          <w:trHeight w:val="960" w:hRule="atLeast"/>
        </w:trPr>
        <w:tc>
          <w:tcPr>
            <w:tcW w:w="13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拆除工程施工备案</w:t>
            </w:r>
          </w:p>
        </w:tc>
        <w:tc>
          <w:tcPr>
            <w:tcW w:w="53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ascii="微软雅黑" w:hAnsi="微软雅黑" w:eastAsia="微软雅黑" w:cs="微软雅黑"/>
                <w:color w:val="000000" w:themeColor="text1"/>
                <w:sz w:val="20"/>
                <w:szCs w:val="20"/>
                <w14:textFill>
                  <w14:solidFill>
                    <w14:schemeClr w14:val="tx1"/>
                  </w14:solidFill>
                </w14:textFill>
              </w:rPr>
              <w:t>《建设工程安全生产管理条例》（国务院令第393号）第十一条；</w:t>
            </w:r>
          </w:p>
        </w:tc>
        <w:tc>
          <w:tcPr>
            <w:tcW w:w="24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第十一条 建设单位应当将拆除工程发包给具有相应资质等级的施工单位。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建设单位应当在拆除工程施工１５日前，将下列资料报送建设工程所在地的县级以上地方人民政府建设行政主管部门或者其他有关部门备案：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（一）施工单位资质等级证明；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（二）拟拆除建筑物、构筑物及可能危及毗邻建筑的说明；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（三）拆除施工组织方案；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cs="Times New Roman"/>
                <w:color w:val="000000" w:themeColor="text1"/>
                <w:kern w:val="0"/>
                <w:sz w:val="20"/>
                <w:szCs w:val="20"/>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（四）堆放、清除废弃物的措施。 </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14:textFill>
                  <w14:solidFill>
                    <w14:schemeClr w14:val="tx1"/>
                  </w14:solidFill>
                </w14:textFill>
              </w:rPr>
              <w:t xml:space="preserve">    实施爆破作业的，应当遵守国家有关民用爆炸物品管理的规定。</w:t>
            </w:r>
          </w:p>
        </w:tc>
        <w:tc>
          <w:tcPr>
            <w:tcW w:w="55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default"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lang w:eastAsia="zh-CN"/>
                <w14:textFill>
                  <w14:solidFill>
                    <w14:schemeClr w14:val="tx1"/>
                  </w14:solidFill>
                </w14:textFill>
              </w:rPr>
              <w:t>符合国家有关民用爆炸物品管理的规定，资料齐全，法定时限：20工作日，承诺时限：</w:t>
            </w:r>
            <w:r>
              <w:rPr>
                <w:rFonts w:hint="eastAsia" w:ascii="宋体" w:cs="Times New Roman"/>
                <w:color w:val="000000" w:themeColor="text1"/>
                <w:kern w:val="0"/>
                <w:sz w:val="20"/>
                <w:szCs w:val="20"/>
                <w:lang w:val="en-US" w:eastAsia="zh-CN"/>
                <w14:textFill>
                  <w14:solidFill>
                    <w14:schemeClr w14:val="tx1"/>
                  </w14:solidFill>
                </w14:textFill>
              </w:rPr>
              <w:t>10个工作日</w:t>
            </w:r>
          </w:p>
        </w:tc>
      </w:tr>
      <w:tr>
        <w:tblPrEx>
          <w:tblCellMar>
            <w:top w:w="0" w:type="dxa"/>
            <w:left w:w="108" w:type="dxa"/>
            <w:bottom w:w="0" w:type="dxa"/>
            <w:right w:w="108" w:type="dxa"/>
          </w:tblCellMar>
        </w:tblPrEx>
        <w:trPr>
          <w:trHeight w:val="960" w:hRule="atLeast"/>
        </w:trPr>
        <w:tc>
          <w:tcPr>
            <w:tcW w:w="13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Calibri" w:eastAsia="宋体" w:cs="Times New Roman"/>
                <w:color w:val="000000" w:themeColor="text1"/>
                <w:kern w:val="0"/>
                <w:sz w:val="20"/>
                <w:szCs w:val="20"/>
                <w:lang w:val="en-US" w:eastAsia="zh-CN" w:bidi="ar-SA"/>
                <w14:textFill>
                  <w14:solidFill>
                    <w14:schemeClr w14:val="tx1"/>
                  </w14:solidFill>
                </w14:textFill>
              </w:rPr>
            </w:pPr>
            <w:r>
              <w:rPr>
                <w:rFonts w:hint="eastAsia" w:ascii="宋体" w:cs="Times New Roman"/>
                <w:color w:val="000000" w:themeColor="text1"/>
                <w:kern w:val="0"/>
                <w:sz w:val="20"/>
                <w:szCs w:val="20"/>
                <w:lang w:val="en-US" w:eastAsia="zh-CN"/>
                <w14:textFill>
                  <w14:solidFill>
                    <w14:schemeClr w14:val="tx1"/>
                  </w14:solidFill>
                </w14:textFill>
              </w:rPr>
              <w:t>1</w:t>
            </w:r>
            <w:r>
              <w:rPr>
                <w:rFonts w:hint="eastAsia" w:ascii="宋体" w:cs="Times New Roman"/>
                <w:color w:val="000000" w:themeColor="text1"/>
                <w:kern w:val="0"/>
                <w:sz w:val="20"/>
                <w:szCs w:val="20"/>
                <w14:textFill>
                  <w14:solidFill>
                    <w14:schemeClr w14:val="tx1"/>
                  </w14:solidFill>
                </w14:textFill>
              </w:rPr>
              <w:t>、环卫设施建设工程项目档案备案</w:t>
            </w:r>
          </w:p>
        </w:tc>
        <w:tc>
          <w:tcPr>
            <w:tcW w:w="53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firstLine="560"/>
              <w:rPr>
                <w:rFonts w:ascii="宋体" w:cs="Times New Roman"/>
                <w:color w:val="000000" w:themeColor="text1"/>
                <w:kern w:val="0"/>
                <w:sz w:val="20"/>
                <w:szCs w:val="20"/>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城市生活垃圾管理办法》第12条城市生活垃圾收集、处置设施工程竣工后，建设单位应当依法组织竣工验收，并在竣工验收后三个月内，依法向当地人民政府建设主管部门和环境卫生主管部门报送建设工程项目档案。未经验收或者验收不合格的，不得交付使用。</w:t>
            </w:r>
          </w:p>
          <w:p>
            <w:pPr>
              <w:keepNext w:val="0"/>
              <w:keepLines w:val="0"/>
              <w:pageBreakBefore w:val="0"/>
              <w:widowControl/>
              <w:kinsoku/>
              <w:wordWrap/>
              <w:overflowPunct/>
              <w:topLinePunct w:val="0"/>
              <w:autoSpaceDE/>
              <w:autoSpaceDN/>
              <w:bidi w:val="0"/>
              <w:adjustRightInd/>
              <w:snapToGrid/>
              <w:spacing w:line="300" w:lineRule="exact"/>
              <w:jc w:val="center"/>
              <w:rPr>
                <w:rFonts w:ascii="宋体" w:hAnsi="Calibri" w:eastAsia="宋体" w:cs="Times New Roman"/>
                <w:color w:val="000000" w:themeColor="text1"/>
                <w:kern w:val="0"/>
                <w:sz w:val="20"/>
                <w:szCs w:val="20"/>
                <w:lang w:val="en-US" w:eastAsia="zh-CN" w:bidi="ar-SA"/>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项目资料</w:t>
            </w:r>
            <w:r>
              <w:rPr>
                <w:rFonts w:hint="eastAsia" w:ascii="宋体" w:hAnsi="宋体" w:cs="宋体"/>
                <w:color w:val="000000" w:themeColor="text1"/>
                <w:kern w:val="0"/>
                <w:sz w:val="20"/>
                <w:szCs w:val="20"/>
                <w14:textFill>
                  <w14:solidFill>
                    <w14:schemeClr w14:val="tx1"/>
                  </w14:solidFill>
                </w14:textFill>
              </w:rPr>
              <w:t>备案</w:t>
            </w:r>
          </w:p>
        </w:tc>
        <w:tc>
          <w:tcPr>
            <w:tcW w:w="55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firstLine="560"/>
              <w:rPr>
                <w:rFonts w:ascii="宋体" w:cs="Times New Roman"/>
                <w:color w:val="000000" w:themeColor="text1"/>
                <w:kern w:val="0"/>
                <w:sz w:val="20"/>
                <w:szCs w:val="20"/>
                <w14:textFill>
                  <w14:solidFill>
                    <w14:schemeClr w14:val="tx1"/>
                  </w14:solidFill>
                </w14:textFill>
              </w:rPr>
            </w:pPr>
            <w:r>
              <w:rPr>
                <w:rFonts w:ascii="宋体" w:cs="Times New Roman"/>
                <w:color w:val="000000" w:themeColor="text1"/>
                <w:kern w:val="0"/>
                <w:sz w:val="20"/>
                <w:szCs w:val="20"/>
                <w14:textFill>
                  <w14:solidFill>
                    <w14:schemeClr w14:val="tx1"/>
                  </w14:solidFill>
                </w14:textFill>
              </w:rPr>
              <w:t>符合配套建设的环境卫生设施规划；</w:t>
            </w:r>
            <w:r>
              <w:rPr>
                <w:rFonts w:ascii="宋体" w:cs="Times New Roman"/>
                <w:color w:val="000000" w:themeColor="text1"/>
                <w:sz w:val="20"/>
                <w:szCs w:val="20"/>
                <w14:textFill>
                  <w14:solidFill>
                    <w14:schemeClr w14:val="tx1"/>
                  </w14:solidFill>
                </w14:textFill>
              </w:rPr>
              <w:t>符合城镇环境卫生设施设置规定；符合城市容貌标准</w:t>
            </w:r>
            <w:r>
              <w:rPr>
                <w:rFonts w:hint="eastAsia" w:ascii="宋体" w:cs="Times New Roman"/>
                <w:color w:val="000000" w:themeColor="text1"/>
                <w:sz w:val="20"/>
                <w:szCs w:val="20"/>
                <w14:textFill>
                  <w14:solidFill>
                    <w14:schemeClr w14:val="tx1"/>
                  </w14:solidFill>
                </w14:textFill>
              </w:rPr>
              <w:t>，10个工作日。</w:t>
            </w:r>
          </w:p>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r>
    </w:tbl>
    <w:p>
      <w:pPr>
        <w:keepNext w:val="0"/>
        <w:keepLines w:val="0"/>
        <w:pageBreakBefore w:val="0"/>
        <w:kinsoku/>
        <w:wordWrap/>
        <w:overflowPunct/>
        <w:topLinePunct w:val="0"/>
        <w:autoSpaceDE/>
        <w:autoSpaceDN/>
        <w:bidi w:val="0"/>
        <w:adjustRightInd/>
        <w:snapToGrid/>
        <w:spacing w:line="300" w:lineRule="exact"/>
        <w:ind w:firstLine="640" w:firstLineChars="200"/>
        <w:jc w:val="center"/>
        <w:rPr>
          <w:rFonts w:ascii="黑体" w:hAnsi="黑体" w:eastAsia="黑体" w:cs="Times New Roman"/>
          <w:sz w:val="32"/>
          <w:szCs w:val="32"/>
        </w:rPr>
      </w:pPr>
    </w:p>
    <w:p>
      <w:pPr>
        <w:keepNext w:val="0"/>
        <w:keepLines w:val="0"/>
        <w:pageBreakBefore w:val="0"/>
        <w:kinsoku/>
        <w:wordWrap/>
        <w:overflowPunct/>
        <w:topLinePunct w:val="0"/>
        <w:autoSpaceDE/>
        <w:autoSpaceDN/>
        <w:bidi w:val="0"/>
        <w:adjustRightInd/>
        <w:snapToGrid/>
        <w:spacing w:line="300" w:lineRule="exact"/>
        <w:rPr>
          <w:rFonts w:hint="eastAsia" w:ascii="华文中宋" w:hAnsi="华文中宋" w:eastAsia="华文中宋" w:cs="华文中宋"/>
          <w:b/>
          <w:bCs/>
          <w:sz w:val="32"/>
          <w:szCs w:val="32"/>
        </w:rPr>
      </w:pPr>
    </w:p>
    <w:p>
      <w:pPr>
        <w:keepNext w:val="0"/>
        <w:keepLines w:val="0"/>
        <w:pageBreakBefore w:val="0"/>
        <w:kinsoku/>
        <w:wordWrap/>
        <w:overflowPunct/>
        <w:topLinePunct w:val="0"/>
        <w:autoSpaceDE/>
        <w:autoSpaceDN/>
        <w:bidi w:val="0"/>
        <w:adjustRightInd/>
        <w:snapToGrid/>
        <w:spacing w:line="300" w:lineRule="exact"/>
        <w:rPr>
          <w:rFonts w:hint="eastAsia" w:ascii="华文中宋" w:hAnsi="华文中宋" w:eastAsia="华文中宋" w:cs="华文中宋"/>
          <w:b/>
          <w:bCs/>
          <w:sz w:val="32"/>
          <w:szCs w:val="32"/>
        </w:rPr>
      </w:pPr>
    </w:p>
    <w:p>
      <w:pPr>
        <w:keepNext w:val="0"/>
        <w:keepLines w:val="0"/>
        <w:pageBreakBefore w:val="0"/>
        <w:kinsoku/>
        <w:wordWrap/>
        <w:overflowPunct/>
        <w:topLinePunct w:val="0"/>
        <w:autoSpaceDE/>
        <w:autoSpaceDN/>
        <w:bidi w:val="0"/>
        <w:adjustRightInd/>
        <w:snapToGrid/>
        <w:spacing w:line="300" w:lineRule="exact"/>
        <w:rPr>
          <w:rFonts w:hint="eastAsia" w:ascii="华文中宋" w:hAnsi="华文中宋" w:eastAsia="华文中宋" w:cs="华文中宋"/>
          <w:b/>
          <w:bCs/>
          <w:sz w:val="32"/>
          <w:szCs w:val="32"/>
        </w:rPr>
      </w:pPr>
    </w:p>
    <w:p>
      <w:pPr>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七、剑阁县</w:t>
      </w:r>
      <w:r>
        <w:rPr>
          <w:rFonts w:hint="eastAsia" w:ascii="华文中宋" w:hAnsi="华文中宋" w:eastAsia="华文中宋" w:cs="华文中宋"/>
          <w:b/>
          <w:bCs/>
          <w:sz w:val="32"/>
          <w:szCs w:val="32"/>
          <w:lang w:eastAsia="zh-CN"/>
        </w:rPr>
        <w:t>住建</w:t>
      </w:r>
      <w:r>
        <w:rPr>
          <w:rFonts w:hint="eastAsia" w:ascii="华文中宋" w:hAnsi="华文中宋" w:eastAsia="华文中宋" w:cs="华文中宋"/>
          <w:b/>
          <w:bCs/>
          <w:sz w:val="32"/>
          <w:szCs w:val="32"/>
        </w:rPr>
        <w:t>局随机抽查事项清单、市场主体库（检查对象名录库）、2020年抽查计划</w:t>
      </w:r>
    </w:p>
    <w:p>
      <w:pPr>
        <w:ind w:firstLine="120" w:firstLineChars="50"/>
        <w:rPr>
          <w:rFonts w:ascii="黑体" w:hAnsi="黑体" w:eastAsia="黑体" w:cs="Times New Roman"/>
          <w:b/>
          <w:bCs/>
          <w:sz w:val="24"/>
          <w:szCs w:val="24"/>
        </w:rPr>
      </w:pPr>
      <w:r>
        <w:rPr>
          <w:rFonts w:ascii="黑体" w:hAnsi="黑体" w:eastAsia="黑体" w:cs="黑体"/>
          <w:b/>
          <w:bCs/>
          <w:sz w:val="24"/>
          <w:szCs w:val="24"/>
        </w:rPr>
        <w:t>1</w:t>
      </w:r>
      <w:r>
        <w:rPr>
          <w:rFonts w:hint="eastAsia" w:ascii="黑体" w:hAnsi="黑体" w:eastAsia="黑体" w:cs="黑体"/>
          <w:b/>
          <w:bCs/>
          <w:sz w:val="24"/>
          <w:szCs w:val="24"/>
        </w:rPr>
        <w:t>、</w:t>
      </w:r>
      <w:r>
        <w:rPr>
          <w:rFonts w:hint="eastAsia" w:ascii="宋体" w:hAnsi="宋体" w:cs="宋体"/>
          <w:b/>
          <w:bCs/>
          <w:sz w:val="24"/>
          <w:szCs w:val="24"/>
        </w:rPr>
        <w:t>县</w:t>
      </w:r>
      <w:r>
        <w:rPr>
          <w:rFonts w:hint="eastAsia" w:ascii="宋体" w:hAnsi="宋体" w:cs="宋体"/>
          <w:b/>
          <w:bCs/>
          <w:sz w:val="24"/>
          <w:szCs w:val="24"/>
          <w:lang w:eastAsia="zh-CN"/>
        </w:rPr>
        <w:t>住建</w:t>
      </w:r>
      <w:r>
        <w:rPr>
          <w:rFonts w:hint="eastAsia" w:ascii="宋体" w:hAnsi="宋体" w:cs="宋体"/>
          <w:b/>
          <w:bCs/>
          <w:sz w:val="24"/>
          <w:szCs w:val="24"/>
        </w:rPr>
        <w:t>局随机抽查检查事项清单</w:t>
      </w:r>
    </w:p>
    <w:tbl>
      <w:tblPr>
        <w:tblStyle w:val="5"/>
        <w:tblW w:w="14633" w:type="dxa"/>
        <w:jc w:val="center"/>
        <w:tblLayout w:type="fixed"/>
        <w:tblCellMar>
          <w:top w:w="0" w:type="dxa"/>
          <w:left w:w="108" w:type="dxa"/>
          <w:bottom w:w="0" w:type="dxa"/>
          <w:right w:w="108" w:type="dxa"/>
        </w:tblCellMar>
      </w:tblPr>
      <w:tblGrid>
        <w:gridCol w:w="675"/>
        <w:gridCol w:w="1496"/>
        <w:gridCol w:w="1206"/>
        <w:gridCol w:w="3188"/>
        <w:gridCol w:w="278"/>
        <w:gridCol w:w="1367"/>
        <w:gridCol w:w="3185"/>
        <w:gridCol w:w="1093"/>
        <w:gridCol w:w="1436"/>
        <w:gridCol w:w="709"/>
      </w:tblGrid>
      <w:tr>
        <w:tblPrEx>
          <w:tblCellMar>
            <w:top w:w="0" w:type="dxa"/>
            <w:left w:w="108" w:type="dxa"/>
            <w:bottom w:w="0" w:type="dxa"/>
            <w:right w:w="108" w:type="dxa"/>
          </w:tblCellMar>
        </w:tblPrEx>
        <w:trPr>
          <w:trHeight w:val="104" w:hRule="atLeast"/>
          <w:tblHeader/>
          <w:jc w:val="center"/>
        </w:trPr>
        <w:tc>
          <w:tcPr>
            <w:tcW w:w="6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72"/>
              <w:jc w:val="center"/>
              <w:textAlignment w:val="auto"/>
              <w:rPr>
                <w:rFonts w:ascii="宋体" w:cs="宋体"/>
                <w:sz w:val="20"/>
                <w:szCs w:val="20"/>
              </w:rPr>
            </w:pPr>
            <w:r>
              <w:rPr>
                <w:rFonts w:hint="eastAsia" w:ascii="宋体" w:hAnsi="宋体" w:cs="宋体"/>
                <w:sz w:val="20"/>
                <w:szCs w:val="20"/>
              </w:rPr>
              <w:t>序号</w:t>
            </w:r>
          </w:p>
        </w:tc>
        <w:tc>
          <w:tcPr>
            <w:tcW w:w="149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sz w:val="20"/>
                <w:szCs w:val="20"/>
              </w:rPr>
              <w:t>抽查事项</w:t>
            </w:r>
          </w:p>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sz w:val="20"/>
                <w:szCs w:val="20"/>
              </w:rPr>
              <w:t>名</w:t>
            </w:r>
            <w:r>
              <w:rPr>
                <w:rFonts w:ascii="宋体" w:hAnsi="宋体" w:cs="宋体"/>
                <w:sz w:val="20"/>
                <w:szCs w:val="20"/>
              </w:rPr>
              <w:t xml:space="preserve">    </w:t>
            </w:r>
            <w:r>
              <w:rPr>
                <w:rFonts w:hint="eastAsia" w:ascii="宋体" w:hAnsi="宋体" w:cs="宋体"/>
                <w:sz w:val="20"/>
                <w:szCs w:val="20"/>
              </w:rPr>
              <w:t>称</w:t>
            </w:r>
          </w:p>
        </w:tc>
        <w:tc>
          <w:tcPr>
            <w:tcW w:w="120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188"/>
              <w:jc w:val="center"/>
              <w:textAlignment w:val="auto"/>
              <w:rPr>
                <w:rFonts w:ascii="宋体" w:cs="宋体"/>
                <w:sz w:val="20"/>
                <w:szCs w:val="20"/>
              </w:rPr>
            </w:pPr>
            <w:r>
              <w:rPr>
                <w:rFonts w:hint="eastAsia" w:ascii="宋体" w:hAnsi="宋体" w:cs="宋体"/>
                <w:sz w:val="20"/>
                <w:szCs w:val="20"/>
              </w:rPr>
              <w:t>检查主体</w:t>
            </w:r>
          </w:p>
        </w:tc>
        <w:tc>
          <w:tcPr>
            <w:tcW w:w="318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143"/>
              <w:jc w:val="center"/>
              <w:textAlignment w:val="auto"/>
              <w:rPr>
                <w:rFonts w:ascii="宋体" w:cs="宋体"/>
                <w:sz w:val="20"/>
                <w:szCs w:val="20"/>
              </w:rPr>
            </w:pPr>
            <w:r>
              <w:rPr>
                <w:rFonts w:hint="eastAsia" w:ascii="宋体" w:hAnsi="宋体" w:cs="宋体"/>
                <w:sz w:val="20"/>
                <w:szCs w:val="20"/>
              </w:rPr>
              <w:t>检查依据</w:t>
            </w:r>
          </w:p>
        </w:tc>
        <w:tc>
          <w:tcPr>
            <w:tcW w:w="1645"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98"/>
              <w:jc w:val="center"/>
              <w:textAlignment w:val="auto"/>
              <w:rPr>
                <w:rFonts w:ascii="宋体" w:cs="宋体"/>
                <w:sz w:val="20"/>
                <w:szCs w:val="20"/>
              </w:rPr>
            </w:pPr>
            <w:r>
              <w:rPr>
                <w:rFonts w:hint="eastAsia" w:ascii="宋体" w:hAnsi="宋体" w:cs="宋体"/>
                <w:sz w:val="20"/>
                <w:szCs w:val="20"/>
              </w:rPr>
              <w:t>检查对象</w:t>
            </w:r>
          </w:p>
        </w:tc>
        <w:tc>
          <w:tcPr>
            <w:tcW w:w="3185"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127"/>
              <w:jc w:val="center"/>
              <w:textAlignment w:val="auto"/>
              <w:rPr>
                <w:rFonts w:ascii="宋体" w:cs="宋体"/>
                <w:sz w:val="20"/>
                <w:szCs w:val="20"/>
              </w:rPr>
            </w:pPr>
            <w:r>
              <w:rPr>
                <w:rFonts w:hint="eastAsia" w:ascii="宋体" w:hAnsi="宋体" w:cs="宋体"/>
                <w:sz w:val="20"/>
                <w:szCs w:val="20"/>
              </w:rPr>
              <w:t>检查内容</w:t>
            </w:r>
          </w:p>
        </w:tc>
        <w:tc>
          <w:tcPr>
            <w:tcW w:w="1093"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sz w:val="20"/>
                <w:szCs w:val="20"/>
              </w:rPr>
              <w:t>抽查比例</w:t>
            </w:r>
          </w:p>
        </w:tc>
        <w:tc>
          <w:tcPr>
            <w:tcW w:w="143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108"/>
              <w:jc w:val="center"/>
              <w:textAlignment w:val="auto"/>
              <w:rPr>
                <w:rFonts w:ascii="宋体" w:cs="宋体"/>
                <w:sz w:val="20"/>
                <w:szCs w:val="20"/>
              </w:rPr>
            </w:pPr>
            <w:r>
              <w:rPr>
                <w:rFonts w:hint="eastAsia" w:ascii="宋体" w:hAnsi="宋体" w:cs="宋体"/>
                <w:sz w:val="20"/>
                <w:szCs w:val="20"/>
              </w:rPr>
              <w:t>抽查方式</w:t>
            </w:r>
          </w:p>
        </w:tc>
        <w:tc>
          <w:tcPr>
            <w:tcW w:w="709"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82"/>
              <w:jc w:val="center"/>
              <w:textAlignment w:val="auto"/>
              <w:rPr>
                <w:rFonts w:ascii="宋体" w:cs="宋体"/>
                <w:sz w:val="20"/>
                <w:szCs w:val="20"/>
              </w:rPr>
            </w:pPr>
            <w:r>
              <w:rPr>
                <w:rFonts w:hint="eastAsia" w:ascii="宋体" w:hAnsi="宋体" w:cs="宋体"/>
                <w:sz w:val="20"/>
                <w:szCs w:val="20"/>
              </w:rPr>
              <w:t>备注</w:t>
            </w:r>
          </w:p>
        </w:tc>
      </w:tr>
      <w:tr>
        <w:tblPrEx>
          <w:tblCellMar>
            <w:top w:w="0" w:type="dxa"/>
            <w:left w:w="108" w:type="dxa"/>
            <w:bottom w:w="0" w:type="dxa"/>
            <w:right w:w="108" w:type="dxa"/>
          </w:tblCellMar>
        </w:tblPrEx>
        <w:trPr>
          <w:trHeight w:val="187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宋体" w:cs="宋体"/>
                <w:sz w:val="20"/>
                <w:szCs w:val="20"/>
              </w:rPr>
            </w:pPr>
            <w:r>
              <w:rPr>
                <w:rFonts w:ascii="宋体" w:hAnsi="宋体" w:cs="宋体"/>
                <w:sz w:val="20"/>
                <w:szCs w:val="20"/>
              </w:rPr>
              <w:t>1</w:t>
            </w:r>
          </w:p>
        </w:tc>
        <w:tc>
          <w:tcPr>
            <w:tcW w:w="149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cs="宋体"/>
                <w:sz w:val="20"/>
                <w:szCs w:val="20"/>
              </w:rPr>
              <w:t>对中水设施的监督检查</w:t>
            </w:r>
          </w:p>
        </w:tc>
        <w:tc>
          <w:tcPr>
            <w:tcW w:w="120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cs="宋体"/>
                <w:sz w:val="20"/>
                <w:szCs w:val="20"/>
              </w:rPr>
              <w:t>剑阁县住房和城乡建设局</w:t>
            </w:r>
          </w:p>
        </w:tc>
        <w:tc>
          <w:tcPr>
            <w:tcW w:w="3466"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cs="Times New Roman"/>
                <w:sz w:val="20"/>
                <w:szCs w:val="20"/>
              </w:rPr>
              <w:t>《城镇排水与污水处理条例》、《四川省城市排水管理条例》</w:t>
            </w:r>
          </w:p>
        </w:tc>
        <w:tc>
          <w:tcPr>
            <w:tcW w:w="136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r>
              <w:rPr>
                <w:rFonts w:hint="eastAsia" w:ascii="宋体" w:cs="宋体"/>
                <w:sz w:val="20"/>
                <w:szCs w:val="20"/>
              </w:rPr>
              <w:t>县城污水处理厂、普安镇污水处理厂</w:t>
            </w:r>
          </w:p>
        </w:tc>
        <w:tc>
          <w:tcPr>
            <w:tcW w:w="3185"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cs="宋体"/>
                <w:sz w:val="20"/>
                <w:szCs w:val="20"/>
              </w:rPr>
              <w:t>检查中水设施运转情况及水质达标排放等</w:t>
            </w:r>
          </w:p>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c>
          <w:tcPr>
            <w:tcW w:w="1093"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宋体" w:cs="宋体"/>
                <w:sz w:val="20"/>
                <w:szCs w:val="20"/>
              </w:rPr>
            </w:pPr>
          </w:p>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r>
              <w:rPr>
                <w:rFonts w:hint="eastAsia" w:ascii="宋体" w:cs="宋体"/>
                <w:sz w:val="20"/>
                <w:szCs w:val="20"/>
              </w:rPr>
              <w:t>100%</w:t>
            </w:r>
          </w:p>
        </w:tc>
        <w:tc>
          <w:tcPr>
            <w:tcW w:w="143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r>
              <w:rPr>
                <w:rFonts w:hint="eastAsia" w:ascii="宋体" w:cs="宋体"/>
                <w:sz w:val="20"/>
                <w:szCs w:val="20"/>
              </w:rPr>
              <w:t>现场查看</w:t>
            </w:r>
          </w:p>
        </w:tc>
        <w:tc>
          <w:tcPr>
            <w:tcW w:w="709"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307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2</w:t>
            </w:r>
          </w:p>
        </w:tc>
        <w:tc>
          <w:tcPr>
            <w:tcW w:w="149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rPr>
                <w:rFonts w:hint="eastAsia" w:ascii="宋体" w:hAnsi="Calibri" w:eastAsia="宋体" w:cs="宋体"/>
                <w:kern w:val="0"/>
                <w:sz w:val="20"/>
                <w:szCs w:val="20"/>
                <w:lang w:val="en-US" w:eastAsia="zh-CN" w:bidi="ar-SA"/>
              </w:rPr>
            </w:pPr>
            <w:r>
              <w:rPr>
                <w:rFonts w:hint="eastAsia" w:ascii="宋体" w:hAnsi="宋体" w:cs="宋体"/>
                <w:kern w:val="0"/>
                <w:sz w:val="20"/>
                <w:szCs w:val="20"/>
                <w:lang w:eastAsia="zh-CN"/>
              </w:rPr>
              <w:t>商品房预售许可检查</w:t>
            </w:r>
          </w:p>
        </w:tc>
        <w:tc>
          <w:tcPr>
            <w:tcW w:w="120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住房和城乡建设局</w:t>
            </w:r>
          </w:p>
        </w:tc>
        <w:tc>
          <w:tcPr>
            <w:tcW w:w="3466"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hAnsi="宋体" w:cs="宋体"/>
                <w:kern w:val="0"/>
                <w:sz w:val="20"/>
                <w:szCs w:val="20"/>
              </w:rPr>
              <w:t>华人民共</w:t>
            </w:r>
            <w:r>
              <w:rPr>
                <w:rFonts w:hint="eastAsia" w:ascii="宋体" w:hAnsi="宋体" w:cs="宋体"/>
                <w:kern w:val="0"/>
                <w:sz w:val="20"/>
                <w:szCs w:val="20"/>
                <w:lang w:eastAsia="zh-CN"/>
              </w:rPr>
              <w:t>城市房地产管理法</w:t>
            </w:r>
            <w:r>
              <w:rPr>
                <w:rFonts w:hint="eastAsia" w:ascii="宋体" w:hAnsi="宋体" w:cs="宋体"/>
                <w:kern w:val="0"/>
                <w:sz w:val="20"/>
                <w:szCs w:val="20"/>
              </w:rPr>
              <w:t>》第</w:t>
            </w:r>
            <w:r>
              <w:rPr>
                <w:rFonts w:hint="eastAsia" w:ascii="宋体" w:hAnsi="宋体" w:cs="宋体"/>
                <w:kern w:val="0"/>
                <w:sz w:val="20"/>
                <w:szCs w:val="20"/>
                <w:lang w:eastAsia="zh-CN"/>
              </w:rPr>
              <w:t>四</w:t>
            </w:r>
            <w:r>
              <w:rPr>
                <w:rFonts w:hint="eastAsia" w:ascii="宋体" w:hAnsi="宋体" w:cs="宋体"/>
                <w:kern w:val="0"/>
                <w:sz w:val="20"/>
                <w:szCs w:val="20"/>
              </w:rPr>
              <w:t>十</w:t>
            </w:r>
            <w:r>
              <w:rPr>
                <w:rFonts w:hint="eastAsia" w:ascii="宋体" w:hAnsi="宋体" w:cs="宋体"/>
                <w:kern w:val="0"/>
                <w:sz w:val="20"/>
                <w:szCs w:val="20"/>
                <w:lang w:eastAsia="zh-CN"/>
              </w:rPr>
              <w:t>五</w:t>
            </w:r>
            <w:r>
              <w:rPr>
                <w:rFonts w:hint="eastAsia" w:ascii="宋体" w:hAnsi="宋体" w:cs="宋体"/>
                <w:kern w:val="0"/>
                <w:sz w:val="20"/>
                <w:szCs w:val="20"/>
              </w:rPr>
              <w:t>条：</w:t>
            </w:r>
            <w:r>
              <w:rPr>
                <w:rFonts w:hint="eastAsia" w:ascii="宋体" w:hAnsi="宋体" w:cs="宋体"/>
                <w:kern w:val="0"/>
                <w:sz w:val="20"/>
                <w:szCs w:val="20"/>
                <w:lang w:eastAsia="zh-CN"/>
              </w:rPr>
              <w:t>商品房预售，应当符合下列条件：（一）已交付全部土地使用权出让金，取得土地使用权证书；（二）持有建设工程规划许可证；（三）按提供预售商品房计算，投入开发建设的资金达到工程建设总投资的百分之二十五以上，并已经确定施工进度和竣工交付日期；（四）向县级以上人民政府房产管理部门办理预售登记，取得商品房预售许可证明。商品房预售人应当按照国家有关规定将预售合同报县级以上人民政府房产管理部门和土地管理部门登记备案。商品房预售所得款项，必须用于有关工程建设。</w:t>
            </w:r>
          </w:p>
        </w:tc>
        <w:tc>
          <w:tcPr>
            <w:tcW w:w="1367"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各企业</w:t>
            </w:r>
          </w:p>
        </w:tc>
        <w:tc>
          <w:tcPr>
            <w:tcW w:w="3185"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rPr>
                <w:rFonts w:hint="default" w:ascii="宋体" w:hAnsi="Calibri" w:eastAsia="宋体" w:cs="宋体"/>
                <w:kern w:val="2"/>
                <w:sz w:val="20"/>
                <w:szCs w:val="20"/>
                <w:lang w:val="en-US" w:eastAsia="zh-CN" w:bidi="ar-SA"/>
              </w:rPr>
            </w:pPr>
            <w:r>
              <w:rPr>
                <w:rFonts w:hint="eastAsia" w:ascii="宋体" w:cs="宋体"/>
                <w:sz w:val="20"/>
                <w:szCs w:val="20"/>
                <w:lang w:val="en-US" w:eastAsia="zh-CN"/>
              </w:rPr>
              <w:t>1、检查商品房是否办理商品房预售许可。2、是否各种证书进行公示。3是否公示一房一价表。4预售资金管理及用途。</w:t>
            </w:r>
          </w:p>
        </w:tc>
        <w:tc>
          <w:tcPr>
            <w:tcW w:w="1093"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jc w:val="center"/>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p>
        </w:tc>
        <w:tc>
          <w:tcPr>
            <w:tcW w:w="1436"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kern w:val="0"/>
                <w:sz w:val="20"/>
                <w:szCs w:val="20"/>
              </w:rPr>
              <w:t>现场</w:t>
            </w:r>
            <w:r>
              <w:rPr>
                <w:rFonts w:hint="eastAsia" w:ascii="宋体" w:hAnsi="宋体" w:cs="宋体"/>
                <w:kern w:val="0"/>
                <w:sz w:val="20"/>
                <w:szCs w:val="20"/>
                <w:lang w:eastAsia="zh-CN"/>
              </w:rPr>
              <w:t>检查</w:t>
            </w:r>
            <w:r>
              <w:rPr>
                <w:rFonts w:hint="eastAsia" w:ascii="宋体" w:hAnsi="宋体" w:cs="宋体"/>
                <w:kern w:val="0"/>
                <w:sz w:val="20"/>
                <w:szCs w:val="20"/>
              </w:rPr>
              <w:t>与查阅资料相结合的方式</w:t>
            </w:r>
          </w:p>
        </w:tc>
        <w:tc>
          <w:tcPr>
            <w:tcW w:w="709"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2222"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hAnsi="宋体" w:cs="宋体"/>
                <w:kern w:val="0"/>
                <w:sz w:val="20"/>
                <w:szCs w:val="20"/>
                <w:lang w:eastAsia="zh-CN"/>
              </w:rPr>
              <w:t>城市房地产开发经营管理情况检查</w:t>
            </w:r>
          </w:p>
        </w:tc>
        <w:tc>
          <w:tcPr>
            <w:tcW w:w="120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68"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住房和城乡建设局</w:t>
            </w:r>
          </w:p>
        </w:tc>
        <w:tc>
          <w:tcPr>
            <w:tcW w:w="318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2"/>
                <w:sz w:val="20"/>
                <w:szCs w:val="20"/>
                <w:lang w:val="en-US" w:eastAsia="zh-CN" w:bidi="ar-SA"/>
              </w:rPr>
            </w:pPr>
            <w:r>
              <w:rPr>
                <w:rFonts w:ascii="宋体" w:hAnsi="宋体" w:cs="宋体"/>
                <w:kern w:val="0"/>
                <w:sz w:val="20"/>
                <w:szCs w:val="20"/>
              </w:rPr>
              <w:t>1</w:t>
            </w:r>
            <w:r>
              <w:rPr>
                <w:rFonts w:hint="eastAsia" w:ascii="宋体" w:hAnsi="宋体" w:cs="宋体"/>
                <w:kern w:val="0"/>
                <w:sz w:val="20"/>
                <w:szCs w:val="20"/>
              </w:rPr>
              <w:t>、《</w:t>
            </w:r>
            <w:r>
              <w:rPr>
                <w:rFonts w:hint="eastAsia" w:ascii="宋体" w:hAnsi="宋体" w:cs="宋体"/>
                <w:kern w:val="0"/>
                <w:sz w:val="20"/>
                <w:szCs w:val="20"/>
                <w:lang w:eastAsia="zh-CN"/>
              </w:rPr>
              <w:t>城市房地产开发经营管理条例</w:t>
            </w:r>
            <w:r>
              <w:rPr>
                <w:rFonts w:hint="eastAsia" w:ascii="宋体" w:hAnsi="宋体" w:cs="宋体"/>
                <w:kern w:val="0"/>
                <w:sz w:val="20"/>
                <w:szCs w:val="20"/>
              </w:rPr>
              <w:t>》第</w:t>
            </w:r>
            <w:r>
              <w:rPr>
                <w:rFonts w:hint="eastAsia" w:ascii="宋体" w:hAnsi="宋体" w:cs="宋体"/>
                <w:kern w:val="0"/>
                <w:sz w:val="20"/>
                <w:szCs w:val="20"/>
                <w:lang w:eastAsia="zh-CN"/>
              </w:rPr>
              <w:t>四</w:t>
            </w:r>
            <w:r>
              <w:rPr>
                <w:rFonts w:hint="eastAsia" w:ascii="宋体" w:hAnsi="宋体" w:cs="宋体"/>
                <w:kern w:val="0"/>
                <w:sz w:val="20"/>
                <w:szCs w:val="20"/>
              </w:rPr>
              <w:t>条：县级以上地方人民政府</w:t>
            </w:r>
            <w:r>
              <w:rPr>
                <w:rFonts w:hint="eastAsia" w:ascii="宋体" w:hAnsi="宋体" w:cs="宋体"/>
                <w:kern w:val="0"/>
                <w:sz w:val="20"/>
                <w:szCs w:val="20"/>
                <w:lang w:eastAsia="zh-CN"/>
              </w:rPr>
              <w:t>房地产开发主管</w:t>
            </w:r>
            <w:r>
              <w:rPr>
                <w:rFonts w:hint="eastAsia" w:ascii="宋体" w:hAnsi="宋体" w:cs="宋体"/>
                <w:kern w:val="0"/>
                <w:sz w:val="20"/>
                <w:szCs w:val="20"/>
              </w:rPr>
              <w:t>部门负责本行政区域</w:t>
            </w:r>
            <w:r>
              <w:rPr>
                <w:rFonts w:hint="eastAsia" w:ascii="宋体" w:hAnsi="宋体" w:cs="宋体"/>
                <w:kern w:val="0"/>
                <w:sz w:val="20"/>
                <w:szCs w:val="20"/>
                <w:lang w:eastAsia="zh-CN"/>
              </w:rPr>
              <w:t>内的房地产开发经营活动的监督管理工作</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各企业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hAnsi="宋体" w:cs="宋体"/>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对未取得商品房预售许可证进行预售</w:t>
            </w:r>
            <w:r>
              <w:rPr>
                <w:rFonts w:hint="eastAsia" w:ascii="宋体" w:hAnsi="宋体" w:cs="宋体"/>
                <w:i w:val="0"/>
                <w:color w:val="000000"/>
                <w:kern w:val="0"/>
                <w:sz w:val="20"/>
                <w:szCs w:val="20"/>
                <w:u w:val="none"/>
                <w:lang w:val="en-US" w:eastAsia="zh-CN" w:bidi="ar"/>
              </w:rPr>
              <w:t>的检查。2、</w:t>
            </w:r>
            <w:r>
              <w:rPr>
                <w:rFonts w:hint="eastAsia" w:ascii="宋体" w:hAnsi="宋体" w:eastAsia="宋体" w:cs="宋体"/>
                <w:i w:val="0"/>
                <w:color w:val="000000"/>
                <w:kern w:val="0"/>
                <w:sz w:val="20"/>
                <w:szCs w:val="20"/>
                <w:u w:val="none"/>
                <w:lang w:val="en-US" w:eastAsia="zh-CN" w:bidi="ar"/>
              </w:rPr>
              <w:t>对房地产开发企业涂改、出租、出借、转让、出卖资质证书的</w:t>
            </w:r>
            <w:r>
              <w:rPr>
                <w:rFonts w:hint="eastAsia" w:ascii="宋体" w:hAnsi="宋体" w:cs="宋体"/>
                <w:i w:val="0"/>
                <w:color w:val="000000"/>
                <w:kern w:val="0"/>
                <w:sz w:val="20"/>
                <w:szCs w:val="20"/>
                <w:u w:val="none"/>
                <w:lang w:val="en-US" w:eastAsia="zh-CN" w:bidi="ar"/>
              </w:rPr>
              <w:t>检查。3、</w:t>
            </w:r>
            <w:r>
              <w:rPr>
                <w:rFonts w:hint="eastAsia" w:ascii="宋体" w:hAnsi="宋体" w:eastAsia="宋体" w:cs="宋体"/>
                <w:i w:val="0"/>
                <w:color w:val="000000"/>
                <w:kern w:val="0"/>
                <w:sz w:val="20"/>
                <w:szCs w:val="20"/>
                <w:u w:val="none"/>
                <w:lang w:val="en-US" w:eastAsia="zh-CN" w:bidi="ar"/>
              </w:rPr>
              <w:t>对房地产开发企业在商品住宅销售中不按照规定发放《住宅质量保证书》和《住宅使用说明书》</w:t>
            </w:r>
            <w:r>
              <w:rPr>
                <w:rFonts w:hint="eastAsia" w:ascii="宋体" w:hAnsi="宋体" w:cs="宋体"/>
                <w:i w:val="0"/>
                <w:color w:val="000000"/>
                <w:kern w:val="0"/>
                <w:sz w:val="20"/>
                <w:szCs w:val="20"/>
                <w:u w:val="none"/>
                <w:lang w:val="en-US" w:eastAsia="zh-CN" w:bidi="ar"/>
              </w:rPr>
              <w:t>的检查。</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现场查看、查阅资料</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2632"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hAnsi="宋体" w:cs="宋体"/>
                <w:i w:val="0"/>
                <w:color w:val="000000"/>
                <w:kern w:val="0"/>
                <w:sz w:val="20"/>
                <w:szCs w:val="20"/>
                <w:u w:val="none"/>
                <w:lang w:val="en-US" w:eastAsia="zh-CN" w:bidi="ar"/>
              </w:rPr>
              <w:t>对开发企业未按照物业招投标管理规定情况检查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住房和城乡建设局</w:t>
            </w:r>
          </w:p>
        </w:tc>
        <w:tc>
          <w:tcPr>
            <w:tcW w:w="3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left"/>
              <w:textAlignment w:val="auto"/>
              <w:rPr>
                <w:rFonts w:hint="eastAsia" w:ascii="宋体" w:hAnsi="Calibri" w:eastAsia="宋体" w:cs="宋体"/>
                <w:kern w:val="0"/>
                <w:sz w:val="20"/>
                <w:szCs w:val="20"/>
                <w:lang w:val="en-US" w:eastAsia="zh-CN" w:bidi="ar-SA"/>
              </w:rPr>
            </w:pPr>
            <w:r>
              <w:rPr>
                <w:rFonts w:hint="default" w:ascii="等线" w:hAnsi="等线" w:eastAsia="等线" w:cs="等线"/>
                <w:i w:val="0"/>
                <w:color w:val="000000"/>
                <w:kern w:val="0"/>
                <w:sz w:val="20"/>
                <w:szCs w:val="20"/>
                <w:u w:val="none"/>
                <w:lang w:val="en-US" w:eastAsia="zh-CN" w:bidi="ar"/>
              </w:rPr>
              <w:t>《物业管理条例》第57条：对住宅物业的建设单位未通过招投标的方式选聘物业服务企业或者未经批准，擅自采用协议方式选聘物业服务企业的，由县级以上地方人民政府房地产主管部门责令限期改正，给予警告，可以并处10万元以下的处罚。</w:t>
            </w:r>
          </w:p>
        </w:tc>
        <w:tc>
          <w:tcPr>
            <w:tcW w:w="164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各企业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Calibri" w:eastAsia="宋体" w:cs="宋体"/>
                <w:kern w:val="2"/>
                <w:sz w:val="20"/>
                <w:szCs w:val="20"/>
                <w:lang w:val="en-US" w:eastAsia="zh-CN" w:bidi="ar-SA"/>
              </w:rPr>
            </w:pPr>
            <w:r>
              <w:rPr>
                <w:rFonts w:hint="eastAsia" w:ascii="宋体" w:hAnsi="宋体" w:cs="宋体"/>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对住宅物业的建设单位未通过招投标的方式选聘物业服务企业或者未经批准，擅自采用协议方式选聘物业服务企业的</w:t>
            </w:r>
            <w:r>
              <w:rPr>
                <w:rFonts w:hint="eastAsia" w:ascii="宋体" w:hAnsi="宋体" w:cs="宋体"/>
                <w:i w:val="0"/>
                <w:color w:val="000000"/>
                <w:kern w:val="0"/>
                <w:sz w:val="20"/>
                <w:szCs w:val="20"/>
                <w:u w:val="none"/>
                <w:lang w:val="en-US" w:eastAsia="zh-CN" w:bidi="ar"/>
              </w:rPr>
              <w:t>检查。</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随机抽查</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3075"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lang w:eastAsia="zh-CN"/>
              </w:rPr>
              <w:t>对开发企业、物业企业资料移交情况进行检查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lang w:eastAsia="zh-CN"/>
              </w:rPr>
              <w:t>剑阁县住房和城乡建设局</w:t>
            </w:r>
          </w:p>
        </w:tc>
        <w:tc>
          <w:tcPr>
            <w:tcW w:w="318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2"/>
                <w:sz w:val="20"/>
                <w:szCs w:val="20"/>
                <w:lang w:val="en-US" w:eastAsia="zh-CN" w:bidi="ar-SA"/>
              </w:rPr>
            </w:pPr>
            <w:r>
              <w:rPr>
                <w:rFonts w:hint="default" w:ascii="等线" w:hAnsi="等线" w:eastAsia="等线" w:cs="等线"/>
                <w:i w:val="0"/>
                <w:color w:val="000000"/>
                <w:kern w:val="0"/>
                <w:sz w:val="20"/>
                <w:szCs w:val="20"/>
                <w:u w:val="none"/>
                <w:lang w:val="en-US" w:eastAsia="zh-CN" w:bidi="ar"/>
              </w:rPr>
              <w:t>《物业管理条例》第59条：对建设单位、物业服务企业不移交有关资料的或者逾期仍不移交有关资料的，由县级以上地方人民政府房地产主管部门责令限期整改；逾期仍不移交有关资料的，对建设单位、物业服务企业予以通报，处1万元以上10万元以下的处罚。</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各企业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ascii="宋体" w:hAnsi="Calibri" w:eastAsia="宋体" w:cs="宋体"/>
                <w:kern w:val="2"/>
                <w:sz w:val="20"/>
                <w:szCs w:val="20"/>
                <w:lang w:val="en-US" w:eastAsia="zh-CN" w:bidi="ar-SA"/>
              </w:rPr>
            </w:pPr>
            <w:r>
              <w:rPr>
                <w:rFonts w:hint="default" w:ascii="等线" w:hAnsi="等线" w:eastAsia="等线" w:cs="等线"/>
                <w:i w:val="0"/>
                <w:color w:val="000000"/>
                <w:kern w:val="0"/>
                <w:sz w:val="20"/>
                <w:szCs w:val="20"/>
                <w:u w:val="none"/>
                <w:lang w:val="en-US" w:eastAsia="zh-CN" w:bidi="ar"/>
              </w:rPr>
              <w:t>对建设单位、物业服务企业不移交有关资料</w:t>
            </w:r>
            <w:r>
              <w:rPr>
                <w:rFonts w:hint="eastAsia" w:ascii="等线" w:hAnsi="等线" w:eastAsia="等线" w:cs="等线"/>
                <w:i w:val="0"/>
                <w:color w:val="000000"/>
                <w:kern w:val="0"/>
                <w:sz w:val="20"/>
                <w:szCs w:val="20"/>
                <w:u w:val="none"/>
                <w:lang w:val="en-US" w:eastAsia="zh-CN" w:bidi="ar"/>
              </w:rPr>
              <w:t>的情况</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宋体" w:eastAsia="宋体"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随机抽查</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1605"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rPr>
              <w:t>对房屋和市政工程施工扬尘的监督检查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住建局</w:t>
            </w:r>
          </w:p>
        </w:tc>
        <w:tc>
          <w:tcPr>
            <w:tcW w:w="3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《中华人民共和国大气污染防治法》</w:t>
            </w:r>
            <w:r>
              <w:rPr>
                <w:rFonts w:hint="eastAsia" w:ascii="宋体" w:cs="宋体"/>
                <w:sz w:val="20"/>
                <w:szCs w:val="20"/>
                <w:lang w:eastAsia="zh-CN"/>
              </w:rPr>
              <w:t>相关规定</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在剑从事房屋和市政施工企业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应当加强对扬尘等大气污染的综合防治，</w:t>
            </w:r>
            <w:r>
              <w:rPr>
                <w:rFonts w:hint="eastAsia" w:ascii="宋体" w:cs="宋体"/>
                <w:sz w:val="20"/>
                <w:szCs w:val="20"/>
                <w:lang w:eastAsia="zh-CN"/>
              </w:rPr>
              <w:t>对建筑扬尘来源进行检查</w:t>
            </w:r>
            <w:r>
              <w:rPr>
                <w:rFonts w:hint="eastAsia" w:ascii="宋体" w:cs="宋体"/>
                <w:sz w:val="20"/>
                <w:szCs w:val="20"/>
              </w:rPr>
              <w:t xml:space="preserve">。 </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kern w:val="0"/>
                <w:sz w:val="20"/>
                <w:szCs w:val="20"/>
              </w:rPr>
              <w:t>检查生产现场与查阅资料相结合的方式</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1563"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rPr>
              <w:t>对“安管人员”持证上岗、教育培训和履行职责等情况进行监督检查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住建局</w:t>
            </w:r>
          </w:p>
        </w:tc>
        <w:tc>
          <w:tcPr>
            <w:tcW w:w="3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《建筑施工企业主要负责人、项目负责人和专职安全生产管理人员安全生产管理规定》</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在剑从事房屋和市政施工企业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lang w:eastAsia="zh-CN"/>
              </w:rPr>
              <w:t>对建筑企业安全管理人员加强监管和检查。</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100%</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检查生产现场与查阅资料相结合的方式</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1896"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rPr>
              <w:t>对建设工程质量的监督检查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住建局</w:t>
            </w:r>
          </w:p>
        </w:tc>
        <w:tc>
          <w:tcPr>
            <w:tcW w:w="3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《建设工程质量管理条例》</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在剑从事房屋和市政施工企业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 xml:space="preserve">县级以上人民政府建设行政主管部门和其他有关部门应当加强对建设工程质量的监督管理。 </w:t>
            </w:r>
            <w:r>
              <w:rPr>
                <w:rFonts w:hint="eastAsia" w:ascii="宋体" w:cs="宋体"/>
                <w:sz w:val="20"/>
                <w:szCs w:val="20"/>
                <w:lang w:eastAsia="zh-CN"/>
              </w:rPr>
              <w:t>对我县</w:t>
            </w:r>
            <w:r>
              <w:rPr>
                <w:rFonts w:hint="eastAsia" w:ascii="宋体" w:cs="宋体"/>
                <w:sz w:val="20"/>
                <w:szCs w:val="20"/>
              </w:rPr>
              <w:t>内从事建设工程的新建、扩建、改建等有关活动及实施对建设工程质量监督管理的，</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100%</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检查生产现场与查阅资料相结合的方式</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2099"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rPr>
              <w:t>对建设工程安全生产的监督检查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住建局</w:t>
            </w:r>
          </w:p>
        </w:tc>
        <w:tc>
          <w:tcPr>
            <w:tcW w:w="3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lang w:eastAsia="zh-CN"/>
              </w:rPr>
              <w:t>《</w:t>
            </w:r>
            <w:r>
              <w:rPr>
                <w:rFonts w:hint="eastAsia" w:ascii="宋体" w:cs="宋体"/>
                <w:sz w:val="20"/>
                <w:szCs w:val="20"/>
              </w:rPr>
              <w:t xml:space="preserve">建设工程安全生产管理条例 </w:t>
            </w:r>
            <w:r>
              <w:rPr>
                <w:rFonts w:hint="eastAsia" w:ascii="宋体" w:cs="宋体"/>
                <w:sz w:val="20"/>
                <w:szCs w:val="20"/>
                <w:lang w:eastAsia="zh-CN"/>
              </w:rPr>
              <w:t>》</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在剑从事房屋和市政相关企业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在</w:t>
            </w:r>
            <w:r>
              <w:rPr>
                <w:rFonts w:hint="eastAsia" w:ascii="宋体" w:cs="宋体"/>
                <w:sz w:val="20"/>
                <w:szCs w:val="20"/>
                <w:lang w:eastAsia="zh-CN"/>
              </w:rPr>
              <w:t>县</w:t>
            </w:r>
            <w:r>
              <w:rPr>
                <w:rFonts w:hint="eastAsia" w:ascii="宋体" w:cs="宋体"/>
                <w:sz w:val="20"/>
                <w:szCs w:val="20"/>
              </w:rPr>
              <w:t>内从事建设工程的新建、扩建、改建和拆除等有关活动及实施对建设工程安全生产的监督管理，</w:t>
            </w:r>
            <w:r>
              <w:rPr>
                <w:rFonts w:hint="eastAsia" w:ascii="宋体" w:cs="宋体"/>
                <w:sz w:val="20"/>
                <w:szCs w:val="20"/>
                <w:lang w:eastAsia="zh-CN"/>
              </w:rPr>
              <w:t>依法进行检查</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100%</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检查生产现场与查阅资料相结合的方式</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1246"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rPr>
              <w:t>对工程质量检测机构进行检查</w:t>
            </w:r>
          </w:p>
        </w:tc>
        <w:tc>
          <w:tcPr>
            <w:tcW w:w="120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68"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住建局</w:t>
            </w:r>
          </w:p>
        </w:tc>
        <w:tc>
          <w:tcPr>
            <w:tcW w:w="318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Arial" w:eastAsia="宋体 ，Arial"/>
                <w:color w:val="000000"/>
                <w:sz w:val="20"/>
                <w:szCs w:val="20"/>
              </w:rPr>
              <w:t>《建设工程质量检测管理办法》</w:t>
            </w:r>
          </w:p>
        </w:tc>
        <w:tc>
          <w:tcPr>
            <w:tcW w:w="1645"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在剑从事房屋和市政检测企业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Arial" w:eastAsia="宋体 ，Arial"/>
                <w:color w:val="000000"/>
                <w:sz w:val="20"/>
                <w:szCs w:val="20"/>
              </w:rPr>
              <w:t>　建设主管部门负责对本行政区域内的质量检测活动实施监督管理。</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lang w:eastAsia="zh-CN"/>
              </w:rPr>
              <w:t>随机抽查</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r>
        <w:tblPrEx>
          <w:tblCellMar>
            <w:top w:w="0" w:type="dxa"/>
            <w:left w:w="108" w:type="dxa"/>
            <w:bottom w:w="0" w:type="dxa"/>
            <w:right w:w="108" w:type="dxa"/>
          </w:tblCellMar>
        </w:tblPrEx>
        <w:trPr>
          <w:trHeight w:val="3075"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cs="宋体"/>
                <w:sz w:val="20"/>
                <w:szCs w:val="20"/>
                <w:lang w:val="en-US" w:eastAsia="zh-CN"/>
              </w:rPr>
            </w:pPr>
          </w:p>
          <w:p>
            <w:pPr>
              <w:keepNext w:val="0"/>
              <w:keepLines w:val="0"/>
              <w:pageBreakBefore w:val="0"/>
              <w:kinsoku/>
              <w:wordWrap/>
              <w:overflowPunct/>
              <w:topLinePunct w:val="0"/>
              <w:autoSpaceDE/>
              <w:autoSpaceDN/>
              <w:bidi w:val="0"/>
              <w:spacing w:line="30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cs="宋体"/>
                <w:kern w:val="0"/>
                <w:sz w:val="20"/>
                <w:szCs w:val="20"/>
              </w:rPr>
              <w:t>对监理企业资质的监督检查</w:t>
            </w:r>
          </w:p>
        </w:tc>
        <w:tc>
          <w:tcPr>
            <w:tcW w:w="1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hAnsi="Calibri" w:eastAsia="宋体" w:cs="宋体"/>
                <w:kern w:val="0"/>
                <w:sz w:val="20"/>
                <w:szCs w:val="20"/>
                <w:lang w:val="en-US" w:eastAsia="zh-CN" w:bidi="ar-SA"/>
              </w:rPr>
            </w:pPr>
            <w:r>
              <w:rPr>
                <w:rFonts w:hint="eastAsia" w:ascii="宋体" w:hAnsi="宋体" w:cs="宋体"/>
                <w:sz w:val="20"/>
                <w:szCs w:val="20"/>
              </w:rPr>
              <w:t>剑阁县</w:t>
            </w:r>
            <w:r>
              <w:rPr>
                <w:rFonts w:hint="eastAsia" w:ascii="宋体" w:hAnsi="宋体" w:cs="宋体"/>
                <w:sz w:val="20"/>
                <w:szCs w:val="20"/>
                <w:lang w:eastAsia="zh-CN"/>
              </w:rPr>
              <w:t>住建局</w:t>
            </w:r>
          </w:p>
        </w:tc>
        <w:tc>
          <w:tcPr>
            <w:tcW w:w="3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default" w:ascii="宋体" w:hAnsi="Calibri" w:eastAsia="宋体" w:cs="宋体"/>
                <w:kern w:val="0"/>
                <w:sz w:val="20"/>
                <w:szCs w:val="20"/>
                <w:lang w:val="en-US" w:eastAsia="zh-CN" w:bidi="ar-SA"/>
              </w:rPr>
            </w:pPr>
            <w:r>
              <w:rPr>
                <w:rFonts w:hint="eastAsia" w:ascii="宋体" w:cs="宋体"/>
                <w:kern w:val="0"/>
                <w:sz w:val="20"/>
                <w:szCs w:val="20"/>
              </w:rPr>
              <w:t>《四川省建设工程监理规定》</w:t>
            </w:r>
          </w:p>
        </w:tc>
        <w:tc>
          <w:tcPr>
            <w:tcW w:w="164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在剑从事房屋和市政监理企业</w:t>
            </w:r>
          </w:p>
        </w:tc>
        <w:tc>
          <w:tcPr>
            <w:tcW w:w="31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cs="宋体"/>
                <w:sz w:val="20"/>
                <w:szCs w:val="20"/>
              </w:rPr>
            </w:pPr>
            <w:r>
              <w:rPr>
                <w:rFonts w:hint="eastAsia" w:ascii="宋体" w:cs="宋体"/>
                <w:sz w:val="20"/>
                <w:szCs w:val="20"/>
              </w:rPr>
              <w:t>在四川省行政区域内从事建设工程监理活动，必须遵守本规定。</w:t>
            </w:r>
          </w:p>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cs="宋体"/>
                <w:sz w:val="20"/>
                <w:szCs w:val="20"/>
              </w:rPr>
            </w:pPr>
            <w:r>
              <w:rPr>
                <w:rFonts w:hint="eastAsia" w:ascii="宋体" w:cs="宋体"/>
                <w:sz w:val="20"/>
                <w:szCs w:val="20"/>
              </w:rPr>
              <w:t>本规定所称建设工程监理，是指工程监理企业接受建设单位的委托，依照法律、法规、规章和有关技术标准，对工程建设实施的监督管理。</w:t>
            </w:r>
          </w:p>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cs="宋体"/>
                <w:sz w:val="20"/>
                <w:szCs w:val="20"/>
              </w:rPr>
            </w:pPr>
            <w:r>
              <w:rPr>
                <w:rFonts w:hint="eastAsia" w:ascii="宋体" w:cs="宋体"/>
                <w:sz w:val="20"/>
                <w:szCs w:val="20"/>
              </w:rPr>
              <w:t>第三条　省人民政府建设行政主管部门负责全省建设工程监理活动的监督管理。</w:t>
            </w:r>
          </w:p>
          <w:p>
            <w:pPr>
              <w:keepNext w:val="0"/>
              <w:keepLines w:val="0"/>
              <w:pageBreakBefore w:val="0"/>
              <w:kinsoku/>
              <w:wordWrap/>
              <w:overflowPunct/>
              <w:topLinePunct w:val="0"/>
              <w:autoSpaceDE/>
              <w:autoSpaceDN/>
              <w:bidi w:val="0"/>
              <w:adjustRightInd w:val="0"/>
              <w:snapToGrid w:val="0"/>
              <w:spacing w:line="300" w:lineRule="exact"/>
              <w:textAlignment w:val="auto"/>
              <w:rPr>
                <w:rFonts w:hint="eastAsia" w:ascii="宋体" w:cs="宋体"/>
                <w:sz w:val="20"/>
                <w:szCs w:val="20"/>
              </w:rPr>
            </w:pPr>
            <w:r>
              <w:rPr>
                <w:rFonts w:hint="eastAsia" w:ascii="宋体" w:cs="宋体"/>
                <w:sz w:val="20"/>
                <w:szCs w:val="20"/>
              </w:rPr>
              <w:t>县级以上人民政府建设行政主管部门对本行政区域内的建设工程监理活动实施监督管理。</w:t>
            </w:r>
          </w:p>
          <w:p>
            <w:pPr>
              <w:keepNext w:val="0"/>
              <w:keepLines w:val="0"/>
              <w:pageBreakBefore w:val="0"/>
              <w:kinsoku/>
              <w:wordWrap/>
              <w:overflowPunct/>
              <w:topLinePunct w:val="0"/>
              <w:autoSpaceDE/>
              <w:autoSpaceDN/>
              <w:bidi w:val="0"/>
              <w:adjustRightInd w:val="0"/>
              <w:snapToGrid w:val="0"/>
              <w:spacing w:line="300" w:lineRule="exact"/>
              <w:textAlignment w:val="auto"/>
              <w:rPr>
                <w:rFonts w:hint="default" w:ascii="宋体" w:hAnsi="Calibri" w:eastAsia="宋体" w:cs="宋体"/>
                <w:kern w:val="2"/>
                <w:sz w:val="20"/>
                <w:szCs w:val="20"/>
                <w:lang w:val="en-US" w:eastAsia="zh-CN" w:bidi="ar-SA"/>
              </w:rPr>
            </w:pPr>
            <w:r>
              <w:rPr>
                <w:rFonts w:hint="eastAsia" w:ascii="宋体" w:cs="宋体"/>
                <w:sz w:val="20"/>
                <w:szCs w:val="20"/>
              </w:rPr>
              <w:t>县级以上人民政府交通、水利等行政主管部门依照法律、法规、规章和本规定，在各自的职责范围内对有关专业工程的监理活动实施监督管理。</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val="0"/>
              <w:snapToGrid w:val="0"/>
              <w:spacing w:line="300" w:lineRule="exact"/>
              <w:textAlignment w:val="auto"/>
              <w:rPr>
                <w:rFonts w:ascii="宋体" w:cs="宋体"/>
                <w:sz w:val="20"/>
                <w:szCs w:val="20"/>
              </w:rPr>
            </w:pPr>
          </w:p>
          <w:p>
            <w:pPr>
              <w:keepNext w:val="0"/>
              <w:keepLines w:val="0"/>
              <w:pageBreakBefore w:val="0"/>
              <w:kinsoku/>
              <w:wordWrap/>
              <w:overflowPunct/>
              <w:topLinePunct w:val="0"/>
              <w:autoSpaceDE/>
              <w:autoSpaceDN/>
              <w:bidi w:val="0"/>
              <w:adjustRightInd w:val="0"/>
              <w:snapToGrid w:val="0"/>
              <w:spacing w:line="300" w:lineRule="exact"/>
              <w:jc w:val="center"/>
              <w:textAlignment w:val="auto"/>
              <w:rPr>
                <w:rFonts w:ascii="宋体" w:hAnsi="宋体" w:cs="宋体"/>
                <w:sz w:val="20"/>
                <w:szCs w:val="20"/>
              </w:rPr>
            </w:pPr>
            <w:r>
              <w:rPr>
                <w:rFonts w:ascii="宋体" w:hAnsi="宋体" w:cs="宋体"/>
                <w:sz w:val="20"/>
                <w:szCs w:val="20"/>
              </w:rPr>
              <w:t>70%</w:t>
            </w:r>
          </w:p>
          <w:p>
            <w:pPr>
              <w:keepNext w:val="0"/>
              <w:keepLines w:val="0"/>
              <w:pageBreakBefore w:val="0"/>
              <w:kinsoku/>
              <w:wordWrap/>
              <w:overflowPunct/>
              <w:topLinePunct w:val="0"/>
              <w:autoSpaceDE/>
              <w:autoSpaceDN/>
              <w:bidi w:val="0"/>
              <w:adjustRightInd w:val="0"/>
              <w:snapToGrid w:val="0"/>
              <w:spacing w:line="300" w:lineRule="exact"/>
              <w:jc w:val="center"/>
              <w:textAlignment w:val="auto"/>
              <w:rPr>
                <w:rFonts w:ascii="宋体" w:hAnsi="宋体" w:cs="宋体"/>
                <w:sz w:val="20"/>
                <w:szCs w:val="20"/>
              </w:rPr>
            </w:pPr>
          </w:p>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spacing w:line="300" w:lineRule="exact"/>
              <w:ind w:right="320" w:rightChars="0"/>
              <w:jc w:val="center"/>
              <w:textAlignment w:val="auto"/>
              <w:rPr>
                <w:rFonts w:hint="eastAsia" w:ascii="宋体" w:hAnsi="Calibri" w:eastAsia="宋体" w:cs="宋体"/>
                <w:kern w:val="2"/>
                <w:sz w:val="20"/>
                <w:szCs w:val="20"/>
                <w:lang w:val="en-US" w:eastAsia="zh-CN" w:bidi="ar-SA"/>
              </w:rPr>
            </w:pPr>
            <w:r>
              <w:rPr>
                <w:rFonts w:hint="eastAsia" w:ascii="宋体" w:hAnsi="宋体" w:cs="宋体"/>
                <w:sz w:val="20"/>
                <w:szCs w:val="20"/>
              </w:rPr>
              <w:t>随机抽查</w:t>
            </w:r>
          </w:p>
        </w:tc>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line="300" w:lineRule="exact"/>
              <w:ind w:right="320"/>
              <w:jc w:val="center"/>
              <w:textAlignment w:val="auto"/>
              <w:rPr>
                <w:rFonts w:ascii="宋体" w:cs="宋体"/>
                <w:sz w:val="20"/>
                <w:szCs w:val="20"/>
              </w:rPr>
            </w:pPr>
          </w:p>
        </w:tc>
      </w:tr>
    </w:tbl>
    <w:p>
      <w:pPr>
        <w:keepNext w:val="0"/>
        <w:keepLines w:val="0"/>
        <w:pageBreakBefore w:val="0"/>
        <w:kinsoku/>
        <w:wordWrap/>
        <w:overflowPunct/>
        <w:topLinePunct w:val="0"/>
        <w:autoSpaceDE/>
        <w:autoSpaceDN/>
        <w:bidi w:val="0"/>
        <w:spacing w:line="300" w:lineRule="exact"/>
        <w:textAlignment w:val="auto"/>
        <w:rPr>
          <w:rFonts w:ascii="Times New Roman" w:hAnsi="Times New Roman" w:cs="Times New Roman"/>
          <w:spacing w:val="-6"/>
          <w:sz w:val="20"/>
          <w:szCs w:val="20"/>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宋体" w:hAnsi="宋体" w:cs="宋体"/>
          <w:b/>
          <w:bCs/>
          <w:sz w:val="28"/>
          <w:szCs w:val="28"/>
        </w:rPr>
      </w:pPr>
    </w:p>
    <w:p>
      <w:pPr>
        <w:keepNext w:val="0"/>
        <w:keepLines w:val="0"/>
        <w:pageBreakBefore w:val="0"/>
        <w:kinsoku/>
        <w:wordWrap/>
        <w:overflowPunct/>
        <w:topLinePunct w:val="0"/>
        <w:autoSpaceDE/>
        <w:autoSpaceDN/>
        <w:bidi w:val="0"/>
        <w:spacing w:line="300" w:lineRule="exact"/>
        <w:textAlignment w:val="auto"/>
        <w:rPr>
          <w:rFonts w:ascii="黑体" w:hAnsi="黑体" w:eastAsia="黑体" w:cs="Times New Roman"/>
          <w:b/>
          <w:bCs/>
          <w:sz w:val="28"/>
          <w:szCs w:val="28"/>
        </w:rPr>
      </w:pPr>
      <w:r>
        <w:rPr>
          <w:rFonts w:ascii="宋体" w:hAnsi="宋体" w:cs="宋体"/>
          <w:b/>
          <w:bCs/>
          <w:sz w:val="28"/>
          <w:szCs w:val="28"/>
        </w:rPr>
        <w:t>2</w:t>
      </w:r>
      <w:r>
        <w:rPr>
          <w:rFonts w:hint="eastAsia" w:ascii="宋体" w:hAnsi="宋体" w:cs="宋体"/>
          <w:b/>
          <w:bCs/>
          <w:sz w:val="28"/>
          <w:szCs w:val="28"/>
        </w:rPr>
        <w:t>、剑阁县</w:t>
      </w:r>
      <w:r>
        <w:rPr>
          <w:rFonts w:hint="eastAsia" w:ascii="宋体" w:hAnsi="宋体" w:cs="宋体"/>
          <w:b/>
          <w:bCs/>
          <w:sz w:val="28"/>
          <w:szCs w:val="28"/>
          <w:lang w:eastAsia="zh-CN"/>
        </w:rPr>
        <w:t>住建</w:t>
      </w:r>
      <w:r>
        <w:rPr>
          <w:rFonts w:hint="eastAsia" w:ascii="宋体" w:hAnsi="宋体" w:cs="宋体"/>
          <w:b/>
          <w:bCs/>
          <w:sz w:val="28"/>
          <w:szCs w:val="28"/>
        </w:rPr>
        <w:t>局随机抽查市场主体名录库</w:t>
      </w:r>
    </w:p>
    <w:p>
      <w:pPr>
        <w:keepNext w:val="0"/>
        <w:keepLines w:val="0"/>
        <w:pageBreakBefore w:val="0"/>
        <w:kinsoku/>
        <w:wordWrap/>
        <w:overflowPunct/>
        <w:topLinePunct w:val="0"/>
        <w:autoSpaceDE/>
        <w:autoSpaceDN/>
        <w:bidi w:val="0"/>
        <w:spacing w:line="300" w:lineRule="exact"/>
        <w:ind w:firstLine="400" w:firstLineChars="200"/>
        <w:textAlignment w:val="auto"/>
        <w:rPr>
          <w:rFonts w:ascii="???????" w:hAnsi="???????" w:cs="???????"/>
          <w:sz w:val="20"/>
          <w:szCs w:val="20"/>
        </w:rPr>
      </w:pPr>
    </w:p>
    <w:tbl>
      <w:tblPr>
        <w:tblStyle w:val="5"/>
        <w:tblW w:w="1441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7"/>
        <w:gridCol w:w="1438"/>
        <w:gridCol w:w="2476"/>
        <w:gridCol w:w="1471"/>
        <w:gridCol w:w="2245"/>
        <w:gridCol w:w="1387"/>
        <w:gridCol w:w="1236"/>
        <w:gridCol w:w="2035"/>
        <w:gridCol w:w="1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序号</w:t>
            </w:r>
          </w:p>
        </w:tc>
        <w:tc>
          <w:tcPr>
            <w:tcW w:w="1438"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统一社会</w:t>
            </w:r>
          </w:p>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信用代码</w:t>
            </w:r>
          </w:p>
        </w:tc>
        <w:tc>
          <w:tcPr>
            <w:tcW w:w="2476"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企业名称</w:t>
            </w:r>
          </w:p>
        </w:tc>
        <w:tc>
          <w:tcPr>
            <w:tcW w:w="1471"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法人代表</w:t>
            </w:r>
          </w:p>
        </w:tc>
        <w:tc>
          <w:tcPr>
            <w:tcW w:w="2245"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企业地址</w:t>
            </w:r>
          </w:p>
        </w:tc>
        <w:tc>
          <w:tcPr>
            <w:tcW w:w="1387"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企业类型</w:t>
            </w:r>
          </w:p>
        </w:tc>
        <w:tc>
          <w:tcPr>
            <w:tcW w:w="1236"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所属行业</w:t>
            </w:r>
          </w:p>
        </w:tc>
        <w:tc>
          <w:tcPr>
            <w:tcW w:w="2035"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登记机关</w:t>
            </w:r>
          </w:p>
        </w:tc>
        <w:tc>
          <w:tcPr>
            <w:tcW w:w="1340"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r>
              <w:rPr>
                <w:rFonts w:hint="eastAsia" w:ascii="宋体" w:hAnsi="宋体" w:cs="宋体"/>
                <w:kern w:val="0"/>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4"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ascii="宋体" w:hAnsi="宋体" w:cs="宋体"/>
                <w:kern w:val="0"/>
                <w:sz w:val="20"/>
                <w:szCs w:val="20"/>
              </w:rPr>
              <w:t>1</w:t>
            </w:r>
          </w:p>
        </w:tc>
        <w:tc>
          <w:tcPr>
            <w:tcW w:w="1438" w:type="dxa"/>
            <w:tcBorders>
              <w:left w:val="nil"/>
            </w:tcBorders>
            <w:vAlign w:val="center"/>
          </w:tcPr>
          <w:p>
            <w:pPr>
              <w:jc w:val="both"/>
              <w:rPr>
                <w:rFonts w:ascii="宋体" w:hAnsi="Calibri" w:eastAsia="宋体" w:cs="宋体"/>
                <w:kern w:val="2"/>
                <w:sz w:val="21"/>
                <w:szCs w:val="21"/>
                <w:lang w:val="en-US" w:eastAsia="zh-CN" w:bidi="ar-SA"/>
              </w:rPr>
            </w:pPr>
            <w:r>
              <w:rPr>
                <w:rFonts w:hint="eastAsia" w:ascii="宋体" w:cs="宋体"/>
              </w:rPr>
              <w:t>91510823MA6253QK4Y</w:t>
            </w:r>
          </w:p>
        </w:tc>
        <w:tc>
          <w:tcPr>
            <w:tcW w:w="2476" w:type="dxa"/>
            <w:tcBorders>
              <w:left w:val="nil"/>
            </w:tcBorders>
            <w:vAlign w:val="center"/>
          </w:tcPr>
          <w:p>
            <w:pPr>
              <w:jc w:val="both"/>
              <w:rPr>
                <w:rFonts w:hint="eastAsia" w:ascii="宋体" w:cs="宋体"/>
              </w:rPr>
            </w:pPr>
          </w:p>
          <w:p>
            <w:pPr>
              <w:jc w:val="both"/>
              <w:rPr>
                <w:rFonts w:ascii="宋体" w:cs="宋体"/>
              </w:rPr>
            </w:pPr>
            <w:r>
              <w:rPr>
                <w:rFonts w:hint="eastAsia" w:ascii="宋体" w:cs="宋体"/>
              </w:rPr>
              <w:t>四川川投水务集团剑阁有限公司</w:t>
            </w:r>
          </w:p>
          <w:p>
            <w:pPr>
              <w:jc w:val="both"/>
              <w:rPr>
                <w:rFonts w:hint="eastAsia" w:ascii="宋体" w:hAnsi="Calibri" w:eastAsia="宋体" w:cs="宋体"/>
                <w:kern w:val="2"/>
                <w:sz w:val="21"/>
                <w:szCs w:val="21"/>
                <w:lang w:val="en-US" w:eastAsia="zh-CN" w:bidi="ar-SA"/>
              </w:rPr>
            </w:pPr>
          </w:p>
        </w:tc>
        <w:tc>
          <w:tcPr>
            <w:tcW w:w="1471" w:type="dxa"/>
            <w:tcBorders>
              <w:left w:val="nil"/>
            </w:tcBorders>
            <w:vAlign w:val="center"/>
          </w:tcPr>
          <w:p>
            <w:pPr>
              <w:jc w:val="both"/>
              <w:rPr>
                <w:rFonts w:ascii="宋体" w:cs="宋体"/>
              </w:rPr>
            </w:pPr>
            <w:r>
              <w:rPr>
                <w:rFonts w:hint="eastAsia" w:ascii="宋体" w:cs="宋体"/>
              </w:rPr>
              <w:t>何天政</w:t>
            </w:r>
          </w:p>
          <w:p>
            <w:pPr>
              <w:jc w:val="both"/>
              <w:rPr>
                <w:rFonts w:hint="eastAsia" w:ascii="宋体" w:hAnsi="Calibri" w:eastAsia="宋体" w:cs="宋体"/>
                <w:kern w:val="2"/>
                <w:sz w:val="21"/>
                <w:szCs w:val="21"/>
                <w:lang w:val="en-US" w:eastAsia="zh-CN" w:bidi="ar-SA"/>
              </w:rPr>
            </w:pPr>
          </w:p>
        </w:tc>
        <w:tc>
          <w:tcPr>
            <w:tcW w:w="2245" w:type="dxa"/>
            <w:tcBorders>
              <w:left w:val="nil"/>
            </w:tcBorders>
            <w:vAlign w:val="center"/>
          </w:tcPr>
          <w:p>
            <w:pPr>
              <w:jc w:val="both"/>
              <w:rPr>
                <w:rFonts w:ascii="宋体" w:hAnsi="Calibri" w:eastAsia="宋体" w:cs="宋体"/>
                <w:kern w:val="2"/>
                <w:sz w:val="21"/>
                <w:szCs w:val="21"/>
                <w:lang w:val="en-US" w:eastAsia="zh-CN" w:bidi="ar-SA"/>
              </w:rPr>
            </w:pPr>
            <w:r>
              <w:rPr>
                <w:rFonts w:hint="eastAsia" w:ascii="宋体" w:cs="宋体"/>
              </w:rPr>
              <w:t>剑阁县下寺镇明珠花园</w:t>
            </w:r>
          </w:p>
        </w:tc>
        <w:tc>
          <w:tcPr>
            <w:tcW w:w="1387" w:type="dxa"/>
            <w:tcBorders>
              <w:left w:val="nil"/>
            </w:tcBorders>
            <w:vAlign w:val="center"/>
          </w:tcPr>
          <w:p>
            <w:pPr>
              <w:ind w:firstLine="210" w:firstLineChars="100"/>
              <w:jc w:val="both"/>
              <w:rPr>
                <w:rFonts w:ascii="宋体" w:cs="宋体"/>
              </w:rPr>
            </w:pPr>
            <w:r>
              <w:rPr>
                <w:rFonts w:hint="eastAsia" w:ascii="宋体" w:cs="宋体"/>
              </w:rPr>
              <w:t>工贸</w:t>
            </w:r>
          </w:p>
          <w:p>
            <w:pPr>
              <w:ind w:firstLine="210" w:firstLineChars="100"/>
              <w:jc w:val="both"/>
              <w:rPr>
                <w:rFonts w:ascii="宋体" w:hAnsi="Calibri" w:eastAsia="宋体" w:cs="宋体"/>
                <w:kern w:val="2"/>
                <w:sz w:val="21"/>
                <w:szCs w:val="21"/>
                <w:lang w:val="en-US" w:eastAsia="zh-CN" w:bidi="ar-SA"/>
              </w:rPr>
            </w:pPr>
          </w:p>
        </w:tc>
        <w:tc>
          <w:tcPr>
            <w:tcW w:w="1236" w:type="dxa"/>
            <w:tcBorders>
              <w:left w:val="nil"/>
            </w:tcBorders>
            <w:vAlign w:val="center"/>
          </w:tcPr>
          <w:p>
            <w:pPr>
              <w:jc w:val="both"/>
              <w:rPr>
                <w:rFonts w:hint="eastAsia" w:ascii="宋体" w:hAnsi="Calibri" w:eastAsia="宋体" w:cs="宋体"/>
                <w:kern w:val="2"/>
                <w:sz w:val="21"/>
                <w:szCs w:val="21"/>
                <w:lang w:val="en-US" w:eastAsia="zh-CN" w:bidi="ar-SA"/>
              </w:rPr>
            </w:pPr>
            <w:r>
              <w:rPr>
                <w:rFonts w:hint="eastAsia" w:ascii="宋体" w:cs="宋体"/>
              </w:rPr>
              <w:t>自来水生产与工业</w:t>
            </w:r>
          </w:p>
        </w:tc>
        <w:tc>
          <w:tcPr>
            <w:tcW w:w="2035" w:type="dxa"/>
            <w:tcBorders>
              <w:left w:val="nil"/>
            </w:tcBorders>
            <w:vAlign w:val="center"/>
          </w:tcPr>
          <w:p>
            <w:pPr>
              <w:jc w:val="both"/>
              <w:rPr>
                <w:rFonts w:ascii="宋体" w:hAnsi="Calibri" w:eastAsia="宋体" w:cs="宋体"/>
                <w:kern w:val="2"/>
                <w:sz w:val="21"/>
                <w:szCs w:val="21"/>
                <w:lang w:val="en-US" w:eastAsia="zh-CN" w:bidi="ar-SA"/>
              </w:rPr>
            </w:pPr>
            <w:r>
              <w:rPr>
                <w:rFonts w:hint="eastAsia" w:ascii="宋体" w:cs="宋体"/>
              </w:rPr>
              <w:t>剑阁县食品药品和工商质监局</w:t>
            </w:r>
          </w:p>
        </w:tc>
        <w:tc>
          <w:tcPr>
            <w:tcW w:w="1340"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8"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w:t>
            </w:r>
          </w:p>
        </w:tc>
        <w:tc>
          <w:tcPr>
            <w:tcW w:w="1438"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91510823MA6252QAXU </w:t>
            </w:r>
          </w:p>
        </w:tc>
        <w:tc>
          <w:tcPr>
            <w:tcW w:w="2476"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四川佳源房地产开发有限公司</w:t>
            </w:r>
          </w:p>
        </w:tc>
        <w:tc>
          <w:tcPr>
            <w:tcW w:w="1471"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王小珊</w:t>
            </w:r>
          </w:p>
        </w:tc>
        <w:tc>
          <w:tcPr>
            <w:tcW w:w="2245"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剑阁县下寺镇沙溪坝三十米大街</w:t>
            </w:r>
          </w:p>
        </w:tc>
        <w:tc>
          <w:tcPr>
            <w:tcW w:w="1387" w:type="dxa"/>
            <w:tcBorders>
              <w:left w:val="nil"/>
            </w:tcBorders>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Calibri" w:eastAsia="宋体" w:cs="宋体"/>
                <w:kern w:val="2"/>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房地产企业</w:t>
            </w:r>
          </w:p>
        </w:tc>
        <w:tc>
          <w:tcPr>
            <w:tcW w:w="2035"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w:t>
            </w:r>
          </w:p>
        </w:tc>
        <w:tc>
          <w:tcPr>
            <w:tcW w:w="1438"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91510823MA6253BM5A </w:t>
            </w:r>
          </w:p>
        </w:tc>
        <w:tc>
          <w:tcPr>
            <w:tcW w:w="2476"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剑阁县华宇房产开发有限公司</w:t>
            </w:r>
          </w:p>
        </w:tc>
        <w:tc>
          <w:tcPr>
            <w:tcW w:w="1471"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李世平</w:t>
            </w:r>
          </w:p>
        </w:tc>
        <w:tc>
          <w:tcPr>
            <w:tcW w:w="2245"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剑阁县下寺镇修城园区</w:t>
            </w:r>
          </w:p>
        </w:tc>
        <w:tc>
          <w:tcPr>
            <w:tcW w:w="1387" w:type="dxa"/>
            <w:tcBorders>
              <w:left w:val="nil"/>
            </w:tcBorders>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房地产企业</w:t>
            </w:r>
          </w:p>
        </w:tc>
        <w:tc>
          <w:tcPr>
            <w:tcW w:w="2035"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Borders>
              <w:left w:val="nil"/>
            </w:tcBorders>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8"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4</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91510823MA6252XN0T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广元市剑阁建工建材有限公司 </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王开科</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四川省广元市剑阁县下寺镇龙江大道佳源广场6号楼3楼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建筑施工企业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5</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91510823MA6253AY74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剑阁县兴伟房地产开发有限公司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余兴伟 </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剑阁县普安镇河东街18号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房地产企业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6</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91510800MA64KC716A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四川洪厚建设工程有限公司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杨华全</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四川省广元市剑阁县下寺镇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lang w:eastAsia="zh-CN"/>
              </w:rPr>
              <w:t>国</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建筑施工企业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0"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7</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91510000711888229N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四川省兴旺建设工程项目管理有限公司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汤镇</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成都市高新区锦城大道825号2栋5楼509、510、511、512、513号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监理企业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成都高新区市场监督管理局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8</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91510802742277412F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四川鼎昇建设项目管理咨询有限公司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附代斌 </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广元市利州区育才路东291号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监理企业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广元市利州区市场监督管理局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6"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915108236841636190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四川易达建筑工程有限公司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梁正发 </w:t>
            </w:r>
          </w:p>
        </w:tc>
        <w:tc>
          <w:tcPr>
            <w:tcW w:w="2245" w:type="dxa"/>
            <w:vAlign w:val="center"/>
          </w:tcPr>
          <w:p>
            <w:pPr>
              <w:keepNext w:val="0"/>
              <w:keepLines w:val="0"/>
              <w:widowControl/>
              <w:suppressLineNumbers w:val="0"/>
            </w:pPr>
            <w:r>
              <w:t>剑阁县下寺镇修城园区（明珠时光城小区9幢11楼4号）</w:t>
            </w:r>
          </w:p>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建筑施工企业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10</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91510504MA6222J667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泸州市南苑建筑工程有限公司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章华宣 </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泸州市龙马潭区南光路21号5幢2层B号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建筑施工企业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泸州市龙马潭区工商行政管理局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11</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91510823MA6253Q35H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四川广汇建设有限公司剑阁县分公司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余兴伟 </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剑阁县普安镇河东街17号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建筑施工企业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剑阁县食品药品和工商质监局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trPr>
        <w:tc>
          <w:tcPr>
            <w:tcW w:w="787"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12</w:t>
            </w:r>
          </w:p>
        </w:tc>
        <w:tc>
          <w:tcPr>
            <w:tcW w:w="1438"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91510000662787084D </w:t>
            </w:r>
          </w:p>
        </w:tc>
        <w:tc>
          <w:tcPr>
            <w:tcW w:w="247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四川佳和建设工程有限公司</w:t>
            </w:r>
          </w:p>
        </w:tc>
        <w:tc>
          <w:tcPr>
            <w:tcW w:w="1471"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eastAsia="zh-CN"/>
              </w:rPr>
              <w:t xml:space="preserve">余定杰 </w:t>
            </w:r>
          </w:p>
        </w:tc>
        <w:tc>
          <w:tcPr>
            <w:tcW w:w="224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成都市武侯区科华北路19号1栋9楼5号 </w:t>
            </w:r>
          </w:p>
        </w:tc>
        <w:tc>
          <w:tcPr>
            <w:tcW w:w="1387" w:type="dxa"/>
            <w:vAlign w:val="center"/>
          </w:tcPr>
          <w:p>
            <w:pPr>
              <w:keepNext w:val="0"/>
              <w:keepLines w:val="0"/>
              <w:pageBreakBefore w:val="0"/>
              <w:kinsoku/>
              <w:wordWrap/>
              <w:overflowPunct/>
              <w:topLinePunct w:val="0"/>
              <w:autoSpaceDE/>
              <w:autoSpaceDN/>
              <w:bidi w:val="0"/>
              <w:spacing w:line="300" w:lineRule="exact"/>
              <w:ind w:firstLine="200" w:firstLineChars="100"/>
              <w:jc w:val="center"/>
              <w:textAlignment w:val="auto"/>
              <w:rPr>
                <w:rFonts w:hint="eastAsia" w:ascii="宋体" w:hAnsi="宋体" w:eastAsia="宋体" w:cs="宋体"/>
                <w:kern w:val="0"/>
                <w:sz w:val="20"/>
                <w:szCs w:val="20"/>
                <w:lang w:val="en-US" w:eastAsia="zh-CN" w:bidi="ar-SA"/>
              </w:rPr>
            </w:pPr>
            <w:r>
              <w:rPr>
                <w:rFonts w:hint="eastAsia" w:ascii="宋体" w:hAnsi="宋体" w:cs="宋体"/>
                <w:kern w:val="0"/>
                <w:sz w:val="20"/>
                <w:szCs w:val="20"/>
              </w:rPr>
              <w:t>私</w:t>
            </w:r>
            <w:r>
              <w:rPr>
                <w:rFonts w:ascii="宋体" w:hAnsi="宋体" w:cs="宋体"/>
                <w:kern w:val="0"/>
                <w:sz w:val="20"/>
                <w:szCs w:val="20"/>
              </w:rPr>
              <w:t xml:space="preserve"> </w:t>
            </w:r>
            <w:r>
              <w:rPr>
                <w:rFonts w:hint="eastAsia" w:ascii="宋体" w:hAnsi="宋体" w:cs="宋体"/>
                <w:kern w:val="0"/>
                <w:sz w:val="20"/>
                <w:szCs w:val="20"/>
              </w:rPr>
              <w:t>企</w:t>
            </w:r>
          </w:p>
        </w:tc>
        <w:tc>
          <w:tcPr>
            <w:tcW w:w="1236" w:type="dxa"/>
            <w:vAlign w:val="center"/>
          </w:tcPr>
          <w:p>
            <w:pPr>
              <w:keepNext w:val="0"/>
              <w:keepLines w:val="0"/>
              <w:pageBreakBefore w:val="0"/>
              <w:kinsoku/>
              <w:wordWrap/>
              <w:overflowPunct/>
              <w:topLinePunct w:val="0"/>
              <w:autoSpaceDE/>
              <w:autoSpaceDN/>
              <w:bidi w:val="0"/>
              <w:spacing w:line="300" w:lineRule="exact"/>
              <w:jc w:val="center"/>
              <w:textAlignment w:val="auto"/>
              <w:rPr>
                <w:rFonts w:hint="eastAsia" w:ascii="宋体" w:hAnsi="Calibri" w:eastAsia="宋体" w:cs="宋体"/>
                <w:kern w:val="2"/>
                <w:sz w:val="20"/>
                <w:szCs w:val="20"/>
                <w:lang w:val="en-US" w:eastAsia="zh-CN" w:bidi="ar-SA"/>
              </w:rPr>
            </w:pPr>
            <w:r>
              <w:rPr>
                <w:rFonts w:hint="eastAsia" w:ascii="宋体" w:cs="宋体"/>
                <w:sz w:val="20"/>
                <w:szCs w:val="20"/>
                <w:lang w:val="en-US" w:eastAsia="zh-CN"/>
              </w:rPr>
              <w:t>建筑施工企业</w:t>
            </w:r>
          </w:p>
        </w:tc>
        <w:tc>
          <w:tcPr>
            <w:tcW w:w="2035" w:type="dxa"/>
            <w:vAlign w:val="center"/>
          </w:tcPr>
          <w:p>
            <w:pPr>
              <w:keepNext w:val="0"/>
              <w:keepLines w:val="0"/>
              <w:pageBreakBefore w:val="0"/>
              <w:kinsoku/>
              <w:wordWrap/>
              <w:overflowPunct/>
              <w:topLinePunct w:val="0"/>
              <w:autoSpaceDE/>
              <w:autoSpaceDN/>
              <w:bidi w:val="0"/>
              <w:spacing w:line="300" w:lineRule="exact"/>
              <w:jc w:val="center"/>
              <w:textAlignment w:val="auto"/>
              <w:rPr>
                <w:rFonts w:ascii="宋体" w:hAnsi="Calibri" w:eastAsia="宋体" w:cs="宋体"/>
                <w:kern w:val="2"/>
                <w:sz w:val="20"/>
                <w:szCs w:val="20"/>
                <w:lang w:val="en-US" w:eastAsia="zh-CN" w:bidi="ar-SA"/>
              </w:rPr>
            </w:pPr>
            <w:r>
              <w:rPr>
                <w:rFonts w:hint="eastAsia" w:ascii="宋体" w:hAnsi="Calibri" w:eastAsia="宋体" w:cs="宋体"/>
                <w:kern w:val="2"/>
                <w:sz w:val="20"/>
                <w:szCs w:val="20"/>
                <w:lang w:val="en-US" w:eastAsia="zh-CN" w:bidi="ar-SA"/>
              </w:rPr>
              <w:t xml:space="preserve">四川省市场监督管理局 </w:t>
            </w:r>
          </w:p>
        </w:tc>
        <w:tc>
          <w:tcPr>
            <w:tcW w:w="1340" w:type="dxa"/>
          </w:tcPr>
          <w:p>
            <w:pPr>
              <w:keepNext w:val="0"/>
              <w:keepLines w:val="0"/>
              <w:pageBreakBefore w:val="0"/>
              <w:kinsoku/>
              <w:wordWrap/>
              <w:overflowPunct/>
              <w:topLinePunct w:val="0"/>
              <w:autoSpaceDE/>
              <w:autoSpaceDN/>
              <w:bidi w:val="0"/>
              <w:spacing w:line="300" w:lineRule="exact"/>
              <w:jc w:val="center"/>
              <w:textAlignment w:val="auto"/>
              <w:rPr>
                <w:rFonts w:ascii="宋体" w:cs="宋体"/>
                <w:sz w:val="20"/>
                <w:szCs w:val="20"/>
              </w:rPr>
            </w:pPr>
          </w:p>
        </w:tc>
      </w:tr>
    </w:tbl>
    <w:p>
      <w:pPr>
        <w:rPr>
          <w:rFonts w:ascii="新宋体" w:hAnsi="新宋体" w:eastAsia="新宋体" w:cs="Times New Roman"/>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新宋体"/>
          <w:b/>
          <w:bCs/>
          <w:sz w:val="32"/>
          <w:szCs w:val="32"/>
        </w:rPr>
      </w:pPr>
    </w:p>
    <w:p>
      <w:pPr>
        <w:ind w:firstLine="642" w:firstLineChars="200"/>
        <w:jc w:val="left"/>
        <w:rPr>
          <w:rFonts w:ascii="新宋体" w:hAnsi="新宋体" w:eastAsia="新宋体" w:cs="Times New Roman"/>
          <w:b/>
          <w:bCs/>
          <w:sz w:val="32"/>
          <w:szCs w:val="32"/>
        </w:rPr>
      </w:pPr>
      <w:r>
        <w:rPr>
          <w:rFonts w:ascii="新宋体" w:hAnsi="新宋体" w:eastAsia="新宋体" w:cs="新宋体"/>
          <w:b/>
          <w:bCs/>
          <w:sz w:val="32"/>
          <w:szCs w:val="32"/>
        </w:rPr>
        <w:t>3</w:t>
      </w:r>
      <w:r>
        <w:rPr>
          <w:rFonts w:hint="eastAsia" w:ascii="新宋体" w:hAnsi="新宋体" w:eastAsia="新宋体" w:cs="新宋体"/>
          <w:b/>
          <w:bCs/>
          <w:sz w:val="32"/>
          <w:szCs w:val="32"/>
        </w:rPr>
        <w:t>、</w:t>
      </w:r>
      <w:r>
        <w:rPr>
          <w:rFonts w:ascii="??_GB2312" w:hAnsi="??_GB2312" w:cs="??_GB2312"/>
          <w:b/>
          <w:bCs/>
          <w:sz w:val="32"/>
          <w:szCs w:val="32"/>
        </w:rPr>
        <w:t>2020</w:t>
      </w:r>
      <w:r>
        <w:rPr>
          <w:rFonts w:hint="eastAsia" w:ascii="??_GB2312" w:hAnsi="??_GB2312" w:cs="宋体"/>
          <w:b/>
          <w:bCs/>
          <w:sz w:val="32"/>
          <w:szCs w:val="32"/>
        </w:rPr>
        <w:t>年双随机抽查计划</w:t>
      </w:r>
    </w:p>
    <w:tbl>
      <w:tblPr>
        <w:tblStyle w:val="5"/>
        <w:tblW w:w="14202" w:type="dxa"/>
        <w:jc w:val="center"/>
        <w:tblLayout w:type="autofit"/>
        <w:tblCellMar>
          <w:top w:w="0" w:type="dxa"/>
          <w:left w:w="0" w:type="dxa"/>
          <w:bottom w:w="0" w:type="dxa"/>
          <w:right w:w="0" w:type="dxa"/>
        </w:tblCellMar>
      </w:tblPr>
      <w:tblGrid>
        <w:gridCol w:w="1544"/>
        <w:gridCol w:w="5715"/>
        <w:gridCol w:w="1465"/>
        <w:gridCol w:w="1429"/>
        <w:gridCol w:w="1163"/>
        <w:gridCol w:w="1675"/>
        <w:gridCol w:w="1211"/>
      </w:tblGrid>
      <w:tr>
        <w:tblPrEx>
          <w:tblCellMar>
            <w:top w:w="0" w:type="dxa"/>
            <w:left w:w="0" w:type="dxa"/>
            <w:bottom w:w="0" w:type="dxa"/>
            <w:right w:w="0" w:type="dxa"/>
          </w:tblCellMar>
        </w:tblPrEx>
        <w:trPr>
          <w:trHeight w:val="737" w:hRule="atLeast"/>
          <w:jc w:val="center"/>
        </w:trPr>
        <w:tc>
          <w:tcPr>
            <w:tcW w:w="1544"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检查对象</w:t>
            </w:r>
            <w:r>
              <w:rPr>
                <w:rFonts w:ascii="??_GB2312" w:hAnsi="??_GB2312" w:cs="??_GB2312"/>
                <w:kern w:val="0"/>
              </w:rPr>
              <w:t> </w:t>
            </w:r>
          </w:p>
        </w:tc>
        <w:tc>
          <w:tcPr>
            <w:tcW w:w="571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检查依据</w:t>
            </w:r>
            <w:r>
              <w:rPr>
                <w:rFonts w:ascii="??_GB2312" w:hAnsi="??_GB2312" w:cs="??_GB2312"/>
                <w:kern w:val="0"/>
              </w:rPr>
              <w:t> </w:t>
            </w:r>
          </w:p>
        </w:tc>
        <w:tc>
          <w:tcPr>
            <w:tcW w:w="146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执行科室</w:t>
            </w:r>
            <w:r>
              <w:rPr>
                <w:rFonts w:ascii="??_GB2312" w:hAnsi="??_GB2312" w:cs="??_GB2312"/>
                <w:kern w:val="0"/>
              </w:rPr>
              <w:t> </w:t>
            </w:r>
          </w:p>
        </w:tc>
        <w:tc>
          <w:tcPr>
            <w:tcW w:w="1429"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检查比例</w:t>
            </w:r>
            <w:r>
              <w:rPr>
                <w:rFonts w:ascii="??_GB2312" w:hAnsi="??_GB2312" w:cs="??_GB2312"/>
                <w:kern w:val="0"/>
              </w:rPr>
              <w:t> </w:t>
            </w:r>
          </w:p>
        </w:tc>
        <w:tc>
          <w:tcPr>
            <w:tcW w:w="116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检查频次</w:t>
            </w:r>
            <w:r>
              <w:rPr>
                <w:rFonts w:ascii="??_GB2312" w:hAnsi="??_GB2312" w:cs="??_GB2312"/>
                <w:kern w:val="0"/>
              </w:rPr>
              <w:t> </w:t>
            </w:r>
          </w:p>
        </w:tc>
        <w:tc>
          <w:tcPr>
            <w:tcW w:w="167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初步检查时间</w:t>
            </w:r>
            <w:r>
              <w:rPr>
                <w:rFonts w:ascii="??_GB2312" w:hAnsi="??_GB2312" w:cs="??_GB2312"/>
                <w:kern w:val="0"/>
              </w:rPr>
              <w:t> </w:t>
            </w:r>
          </w:p>
        </w:tc>
        <w:tc>
          <w:tcPr>
            <w:tcW w:w="121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备注</w:t>
            </w:r>
            <w:r>
              <w:rPr>
                <w:rFonts w:ascii="??_GB2312" w:hAnsi="??_GB2312" w:cs="??_GB2312"/>
                <w:kern w:val="0"/>
              </w:rPr>
              <w:t> </w:t>
            </w:r>
          </w:p>
        </w:tc>
      </w:tr>
      <w:tr>
        <w:tblPrEx>
          <w:tblCellMar>
            <w:top w:w="0" w:type="dxa"/>
            <w:left w:w="0" w:type="dxa"/>
            <w:bottom w:w="0" w:type="dxa"/>
            <w:right w:w="0" w:type="dxa"/>
          </w:tblCellMar>
        </w:tblPrEx>
        <w:trPr>
          <w:trHeight w:val="868" w:hRule="atLeast"/>
          <w:jc w:val="center"/>
        </w:trPr>
        <w:tc>
          <w:tcPr>
            <w:tcW w:w="1544"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lang w:eastAsia="zh-CN"/>
              </w:rPr>
            </w:pPr>
            <w:r>
              <w:rPr>
                <w:rFonts w:hint="eastAsia" w:ascii="??_GB2312" w:hAnsi="??_GB2312" w:cs="宋体"/>
                <w:sz w:val="20"/>
                <w:szCs w:val="20"/>
              </w:rPr>
              <w:t>全县</w:t>
            </w:r>
            <w:r>
              <w:rPr>
                <w:rFonts w:hint="eastAsia" w:ascii="??_GB2312" w:hAnsi="??_GB2312" w:cs="宋体"/>
                <w:sz w:val="20"/>
                <w:szCs w:val="20"/>
                <w:lang w:eastAsia="zh-CN"/>
              </w:rPr>
              <w:t>房屋及市政在建项目施工企业</w:t>
            </w:r>
          </w:p>
        </w:tc>
        <w:tc>
          <w:tcPr>
            <w:tcW w:w="571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lang w:eastAsia="zh-CN"/>
              </w:rPr>
            </w:pPr>
            <w:r>
              <w:rPr>
                <w:rFonts w:hint="eastAsia" w:ascii="??_GB2312" w:hAnsi="??_GB2312" w:cs="宋体"/>
                <w:sz w:val="20"/>
                <w:szCs w:val="20"/>
              </w:rPr>
              <w:t>《中华人民共和国安全生产法》</w:t>
            </w:r>
            <w:r>
              <w:rPr>
                <w:rFonts w:hint="eastAsia" w:ascii="??_GB2312" w:hAnsi="??_GB2312" w:cs="宋体"/>
                <w:sz w:val="20"/>
                <w:szCs w:val="20"/>
                <w:lang w:eastAsia="zh-CN"/>
              </w:rPr>
              <w:t>、《</w:t>
            </w:r>
            <w:r>
              <w:rPr>
                <w:rFonts w:hint="eastAsia" w:ascii="??_GB2312" w:hAnsi="??_GB2312" w:cs="宋体"/>
                <w:sz w:val="20"/>
                <w:szCs w:val="20"/>
              </w:rPr>
              <w:t xml:space="preserve">建设工程安全生产管理条例 </w:t>
            </w:r>
            <w:r>
              <w:rPr>
                <w:rFonts w:hint="eastAsia" w:ascii="??_GB2312" w:hAnsi="??_GB2312" w:cs="宋体"/>
                <w:sz w:val="20"/>
                <w:szCs w:val="20"/>
                <w:lang w:eastAsia="zh-CN"/>
              </w:rPr>
              <w:t>》、</w:t>
            </w:r>
            <w:r>
              <w:rPr>
                <w:rFonts w:hint="eastAsia" w:ascii="??_GB2312" w:hAnsi="??_GB2312" w:cs="宋体"/>
                <w:sz w:val="20"/>
                <w:szCs w:val="20"/>
              </w:rPr>
              <w:t>《建设工程质量管理条例》</w:t>
            </w:r>
            <w:r>
              <w:rPr>
                <w:rFonts w:hint="eastAsia" w:ascii="??_GB2312" w:hAnsi="??_GB2312" w:cs="宋体"/>
                <w:sz w:val="20"/>
                <w:szCs w:val="20"/>
                <w:lang w:eastAsia="zh-CN"/>
              </w:rPr>
              <w:t>等</w:t>
            </w:r>
          </w:p>
        </w:tc>
        <w:tc>
          <w:tcPr>
            <w:tcW w:w="146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lang w:eastAsia="zh-CN"/>
              </w:rPr>
            </w:pPr>
            <w:r>
              <w:rPr>
                <w:rFonts w:hint="eastAsia" w:ascii="??_GB2312" w:hAnsi="??_GB2312" w:cs="宋体"/>
                <w:sz w:val="20"/>
                <w:szCs w:val="20"/>
                <w:lang w:eastAsia="zh-CN"/>
              </w:rPr>
              <w:t>质安站</w:t>
            </w:r>
          </w:p>
        </w:tc>
        <w:tc>
          <w:tcPr>
            <w:tcW w:w="1429"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r>
              <w:rPr>
                <w:rFonts w:hint="eastAsia" w:ascii="??_GB2312" w:hAnsi="??_GB2312" w:cs="宋体"/>
                <w:sz w:val="20"/>
                <w:szCs w:val="20"/>
              </w:rPr>
              <w:t>80%</w:t>
            </w:r>
          </w:p>
        </w:tc>
        <w:tc>
          <w:tcPr>
            <w:tcW w:w="116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r>
              <w:rPr>
                <w:rFonts w:hint="eastAsia" w:ascii="??_GB2312" w:hAnsi="??_GB2312" w:cs="宋体"/>
                <w:sz w:val="20"/>
                <w:szCs w:val="20"/>
              </w:rPr>
              <w:t>1</w:t>
            </w:r>
          </w:p>
        </w:tc>
        <w:tc>
          <w:tcPr>
            <w:tcW w:w="167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r>
              <w:rPr>
                <w:rFonts w:hint="eastAsia" w:ascii="??_GB2312" w:hAnsi="??_GB2312" w:cs="宋体"/>
                <w:sz w:val="20"/>
                <w:szCs w:val="20"/>
              </w:rPr>
              <w:t>2020.5-2020.12</w:t>
            </w:r>
          </w:p>
        </w:tc>
        <w:tc>
          <w:tcPr>
            <w:tcW w:w="121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p>
        </w:tc>
      </w:tr>
      <w:tr>
        <w:tblPrEx>
          <w:tblCellMar>
            <w:top w:w="0" w:type="dxa"/>
            <w:left w:w="0" w:type="dxa"/>
            <w:bottom w:w="0" w:type="dxa"/>
            <w:right w:w="0" w:type="dxa"/>
          </w:tblCellMar>
        </w:tblPrEx>
        <w:trPr>
          <w:trHeight w:val="1224" w:hRule="atLeast"/>
          <w:jc w:val="center"/>
        </w:trPr>
        <w:tc>
          <w:tcPr>
            <w:tcW w:w="1544"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lang w:eastAsia="zh-CN"/>
              </w:rPr>
            </w:pPr>
            <w:r>
              <w:rPr>
                <w:rFonts w:hint="eastAsia" w:ascii="??_GB2312" w:hAnsi="??_GB2312" w:cs="宋体"/>
                <w:sz w:val="20"/>
                <w:szCs w:val="20"/>
                <w:lang w:eastAsia="zh-CN"/>
              </w:rPr>
              <w:t>全县房屋及市政在建项目的监理企业</w:t>
            </w:r>
          </w:p>
        </w:tc>
        <w:tc>
          <w:tcPr>
            <w:tcW w:w="571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lang w:eastAsia="zh-CN"/>
              </w:rPr>
            </w:pPr>
            <w:r>
              <w:rPr>
                <w:rFonts w:hint="eastAsia" w:ascii="??_GB2312" w:hAnsi="??_GB2312" w:cs="宋体"/>
                <w:sz w:val="20"/>
                <w:szCs w:val="20"/>
              </w:rPr>
              <w:t>《四川省建设工程监理规定》</w:t>
            </w:r>
            <w:r>
              <w:rPr>
                <w:rFonts w:hint="eastAsia" w:ascii="??_GB2312" w:hAnsi="??_GB2312" w:cs="宋体"/>
                <w:sz w:val="20"/>
                <w:szCs w:val="20"/>
                <w:lang w:eastAsia="zh-CN"/>
              </w:rPr>
              <w:t>、《</w:t>
            </w:r>
            <w:r>
              <w:rPr>
                <w:rFonts w:hint="eastAsia" w:ascii="??_GB2312" w:hAnsi="??_GB2312" w:cs="宋体"/>
                <w:sz w:val="20"/>
                <w:szCs w:val="20"/>
              </w:rPr>
              <w:t xml:space="preserve">建设工程安全生产管理条例 </w:t>
            </w:r>
            <w:r>
              <w:rPr>
                <w:rFonts w:hint="eastAsia" w:ascii="??_GB2312" w:hAnsi="??_GB2312" w:cs="宋体"/>
                <w:sz w:val="20"/>
                <w:szCs w:val="20"/>
                <w:lang w:eastAsia="zh-CN"/>
              </w:rPr>
              <w:t>》、等</w:t>
            </w:r>
          </w:p>
        </w:tc>
        <w:tc>
          <w:tcPr>
            <w:tcW w:w="146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lang w:eastAsia="zh-CN"/>
              </w:rPr>
            </w:pPr>
            <w:r>
              <w:rPr>
                <w:rFonts w:hint="eastAsia" w:ascii="??_GB2312" w:hAnsi="??_GB2312" w:cs="宋体"/>
                <w:sz w:val="20"/>
                <w:szCs w:val="20"/>
                <w:lang w:eastAsia="zh-CN"/>
              </w:rPr>
              <w:t>质安站</w:t>
            </w:r>
          </w:p>
        </w:tc>
        <w:tc>
          <w:tcPr>
            <w:tcW w:w="1429"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r>
              <w:rPr>
                <w:rFonts w:hint="eastAsia" w:ascii="??_GB2312" w:hAnsi="??_GB2312" w:cs="宋体"/>
                <w:sz w:val="20"/>
                <w:szCs w:val="20"/>
              </w:rPr>
              <w:t>80%</w:t>
            </w:r>
          </w:p>
        </w:tc>
        <w:tc>
          <w:tcPr>
            <w:tcW w:w="116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r>
              <w:rPr>
                <w:rFonts w:hint="eastAsia" w:ascii="??_GB2312" w:hAnsi="??_GB2312" w:cs="宋体"/>
                <w:sz w:val="20"/>
                <w:szCs w:val="20"/>
              </w:rPr>
              <w:t>1</w:t>
            </w:r>
          </w:p>
        </w:tc>
        <w:tc>
          <w:tcPr>
            <w:tcW w:w="1675"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r>
              <w:rPr>
                <w:rFonts w:hint="eastAsia" w:ascii="??_GB2312" w:hAnsi="??_GB2312" w:cs="宋体"/>
                <w:sz w:val="20"/>
                <w:szCs w:val="20"/>
              </w:rPr>
              <w:t>2020.5-2020.12</w:t>
            </w:r>
          </w:p>
        </w:tc>
        <w:tc>
          <w:tcPr>
            <w:tcW w:w="121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_GB2312" w:hAnsi="??_GB2312" w:cs="宋体"/>
                <w:sz w:val="20"/>
                <w:szCs w:val="20"/>
              </w:rPr>
            </w:pPr>
          </w:p>
        </w:tc>
      </w:tr>
    </w:tbl>
    <w:p>
      <w:pPr>
        <w:widowControl/>
        <w:spacing w:before="100" w:beforeAutospacing="1" w:after="100" w:afterAutospacing="1"/>
        <w:jc w:val="both"/>
        <w:textAlignment w:val="center"/>
        <w:rPr>
          <w:rFonts w:hint="eastAsia" w:ascii="??_GB2312" w:hAnsi="??_GB2312" w:cs="宋体"/>
          <w:sz w:val="20"/>
          <w:szCs w:val="20"/>
        </w:rPr>
      </w:pPr>
    </w:p>
    <w:tbl>
      <w:tblPr>
        <w:tblStyle w:val="5"/>
        <w:tblW w:w="14202" w:type="dxa"/>
        <w:jc w:val="center"/>
        <w:tblLayout w:type="autofit"/>
        <w:tblCellMar>
          <w:top w:w="0" w:type="dxa"/>
          <w:left w:w="0" w:type="dxa"/>
          <w:bottom w:w="0" w:type="dxa"/>
          <w:right w:w="0" w:type="dxa"/>
        </w:tblCellMar>
      </w:tblPr>
      <w:tblGrid>
        <w:gridCol w:w="14202"/>
      </w:tblGrid>
      <w:tr>
        <w:tblPrEx>
          <w:tblCellMar>
            <w:top w:w="0" w:type="dxa"/>
            <w:left w:w="0" w:type="dxa"/>
            <w:bottom w:w="0" w:type="dxa"/>
            <w:right w:w="0" w:type="dxa"/>
          </w:tblCellMar>
        </w:tblPrEx>
        <w:trPr>
          <w:trHeight w:val="3411" w:hRule="atLeast"/>
          <w:jc w:val="center"/>
        </w:trPr>
        <w:tc>
          <w:tcPr>
            <w:tcW w:w="14202" w:type="dxa"/>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540" w:firstLineChars="200"/>
              <w:rPr>
                <w:rFonts w:ascii="??_GB2312" w:hAnsi="??_GB2312" w:cs="??_GB2312"/>
                <w:kern w:val="0"/>
              </w:rPr>
            </w:pPr>
            <w:r>
              <w:rPr>
                <w:rFonts w:hint="eastAsia" w:ascii="??_GB2312" w:hAnsi="??_GB2312" w:cs="宋体"/>
                <w:kern w:val="0"/>
                <w:sz w:val="27"/>
                <w:szCs w:val="27"/>
              </w:rPr>
              <w:t>按照县政府办</w:t>
            </w:r>
            <w:r>
              <w:rPr>
                <w:rFonts w:ascii="??_GB2312" w:hAnsi="??_GB2312" w:cs="??_GB2312"/>
                <w:kern w:val="0"/>
                <w:sz w:val="27"/>
                <w:szCs w:val="27"/>
              </w:rPr>
              <w:t>“</w:t>
            </w:r>
            <w:r>
              <w:rPr>
                <w:rFonts w:hint="eastAsia" w:ascii="??_GB2312" w:hAnsi="??_GB2312" w:cs="宋体"/>
                <w:kern w:val="0"/>
                <w:sz w:val="27"/>
                <w:szCs w:val="27"/>
              </w:rPr>
              <w:t>双随机</w:t>
            </w:r>
            <w:r>
              <w:rPr>
                <w:rFonts w:ascii="??_GB2312" w:hAnsi="??_GB2312" w:cs="??_GB2312"/>
                <w:kern w:val="0"/>
                <w:sz w:val="27"/>
                <w:szCs w:val="27"/>
              </w:rPr>
              <w:t>”</w:t>
            </w:r>
            <w:r>
              <w:rPr>
                <w:rFonts w:hint="eastAsia" w:ascii="??_GB2312" w:hAnsi="??_GB2312" w:cs="宋体"/>
                <w:kern w:val="0"/>
                <w:sz w:val="27"/>
                <w:szCs w:val="27"/>
              </w:rPr>
              <w:t>工作的有关要求，行政检查职能股室应当于当年一季度制定当年检查初步计划，汇总后公示。</w:t>
            </w:r>
            <w:r>
              <w:rPr>
                <w:rFonts w:ascii="??_GB2312" w:hAnsi="??_GB2312" w:cs="??_GB2312"/>
                <w:kern w:val="0"/>
              </w:rPr>
              <w:t> </w:t>
            </w:r>
          </w:p>
          <w:p>
            <w:pPr>
              <w:widowControl/>
              <w:autoSpaceDE w:val="0"/>
              <w:spacing w:line="520" w:lineRule="exact"/>
              <w:ind w:firstLine="542" w:firstLineChars="200"/>
              <w:rPr>
                <w:rFonts w:ascii="??_GB2312" w:hAnsi="??_GB2312" w:cs="??_GB2312"/>
              </w:rPr>
            </w:pPr>
            <w:r>
              <w:rPr>
                <w:rFonts w:hint="eastAsia" w:ascii="??_GB2312" w:hAnsi="??_GB2312" w:cs="宋体"/>
                <w:b/>
                <w:bCs/>
                <w:kern w:val="0"/>
                <w:sz w:val="27"/>
                <w:szCs w:val="27"/>
              </w:rPr>
              <w:t>抽查工作注意事项</w:t>
            </w:r>
            <w:r>
              <w:rPr>
                <w:rFonts w:hint="eastAsia" w:ascii="??_GB2312" w:hAnsi="??_GB2312" w:cs="宋体"/>
                <w:kern w:val="0"/>
                <w:sz w:val="27"/>
                <w:szCs w:val="27"/>
              </w:rPr>
              <w:t>：每年随机抽查事项不低于抽查事项总数的</w:t>
            </w:r>
            <w:r>
              <w:rPr>
                <w:rFonts w:ascii="??_GB2312" w:hAnsi="??_GB2312" w:cs="??_GB2312"/>
                <w:kern w:val="0"/>
                <w:sz w:val="27"/>
                <w:szCs w:val="27"/>
              </w:rPr>
              <w:t>50%</w:t>
            </w:r>
            <w:r>
              <w:rPr>
                <w:rFonts w:hint="eastAsia" w:ascii="??_GB2312" w:hAnsi="??_GB2312" w:cs="宋体"/>
                <w:kern w:val="0"/>
                <w:sz w:val="27"/>
                <w:szCs w:val="27"/>
              </w:rPr>
              <w:t>，抽查对象不少于全部抽查对象的</w:t>
            </w:r>
            <w:r>
              <w:rPr>
                <w:rFonts w:ascii="??_GB2312" w:hAnsi="??_GB2312" w:cs="??_GB2312"/>
                <w:kern w:val="0"/>
                <w:sz w:val="27"/>
                <w:szCs w:val="27"/>
              </w:rPr>
              <w:t>70%</w:t>
            </w:r>
            <w:r>
              <w:rPr>
                <w:rFonts w:hint="eastAsia" w:ascii="??_GB2312" w:hAnsi="??_GB2312" w:cs="宋体"/>
                <w:kern w:val="0"/>
                <w:sz w:val="27"/>
                <w:szCs w:val="27"/>
              </w:rPr>
              <w:t>。原则上同一年度对同一管理对象的抽查次数不超过</w:t>
            </w:r>
            <w:r>
              <w:rPr>
                <w:rFonts w:ascii="??_GB2312" w:hAnsi="??_GB2312" w:cs="??_GB2312"/>
                <w:kern w:val="0"/>
                <w:sz w:val="27"/>
                <w:szCs w:val="27"/>
              </w:rPr>
              <w:t>2</w:t>
            </w:r>
            <w:r>
              <w:rPr>
                <w:rFonts w:hint="eastAsia" w:ascii="??_GB2312" w:hAnsi="??_GB2312" w:cs="宋体"/>
                <w:kern w:val="0"/>
                <w:sz w:val="27"/>
                <w:szCs w:val="27"/>
              </w:rPr>
              <w:t>次。对社会关注度高、被投诉举报多、有严重违纪违规记录、失信等级高的</w:t>
            </w:r>
            <w:r>
              <w:rPr>
                <w:rFonts w:hint="eastAsia" w:ascii="??_GB2312" w:hAnsi="??_GB2312" w:cs="宋体"/>
                <w:kern w:val="0"/>
                <w:sz w:val="27"/>
                <w:szCs w:val="27"/>
                <w:lang w:eastAsia="zh-CN"/>
              </w:rPr>
              <w:t>企业</w:t>
            </w:r>
            <w:r>
              <w:rPr>
                <w:rFonts w:hint="eastAsia" w:ascii="??_GB2312" w:hAnsi="??_GB2312" w:cs="宋体"/>
                <w:kern w:val="0"/>
                <w:sz w:val="27"/>
                <w:szCs w:val="27"/>
              </w:rPr>
              <w:t>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w:t>
            </w:r>
            <w:r>
              <w:rPr>
                <w:rFonts w:ascii="??_GB2312" w:hAnsi="??_GB2312" w:cs="??_GB2312"/>
                <w:kern w:val="0"/>
                <w:sz w:val="27"/>
                <w:szCs w:val="27"/>
              </w:rPr>
              <w:t>20</w:t>
            </w:r>
            <w:r>
              <w:rPr>
                <w:rFonts w:hint="eastAsia" w:ascii="??_GB2312" w:hAnsi="??_GB2312" w:cs="宋体"/>
                <w:kern w:val="0"/>
                <w:sz w:val="27"/>
                <w:szCs w:val="27"/>
              </w:rPr>
              <w:t>日前将工作开展情况汇总，经局领导审签后报县政府办。</w:t>
            </w:r>
            <w:r>
              <w:rPr>
                <w:rFonts w:ascii="??_GB2312" w:hAnsi="??_GB2312" w:cs="??_GB2312"/>
                <w:kern w:val="0"/>
                <w:sz w:val="27"/>
                <w:szCs w:val="27"/>
              </w:rPr>
              <w:t xml:space="preserve"> </w:t>
            </w:r>
          </w:p>
        </w:tc>
      </w:tr>
    </w:tbl>
    <w:p>
      <w:pPr>
        <w:rPr>
          <w:rFonts w:ascii="??_GB2312" w:hAnsi="宋体" w:cs="Times New Roman"/>
          <w:b/>
          <w:bCs/>
          <w:kern w:val="0"/>
          <w:sz w:val="32"/>
          <w:szCs w:val="32"/>
        </w:rPr>
        <w:sectPr>
          <w:pgSz w:w="16838" w:h="11906" w:orient="landscape"/>
          <w:pgMar w:top="1474" w:right="1304" w:bottom="1474" w:left="1304" w:header="851" w:footer="1587" w:gutter="0"/>
          <w:pgBorders>
            <w:top w:val="none" w:sz="0" w:space="0"/>
            <w:left w:val="none" w:sz="0" w:space="0"/>
            <w:bottom w:val="none" w:sz="0" w:space="0"/>
            <w:right w:val="none" w:sz="0" w:space="0"/>
          </w:pgBorders>
          <w:cols w:space="0" w:num="1"/>
          <w:rtlGutter w:val="0"/>
          <w:docGrid w:type="lines" w:linePitch="319" w:charSpace="0"/>
        </w:sectPr>
      </w:pPr>
    </w:p>
    <w:p>
      <w:pPr>
        <w:autoSpaceDE w:val="0"/>
        <w:spacing w:line="576" w:lineRule="exact"/>
        <w:ind w:firstLine="642" w:firstLineChars="200"/>
        <w:rPr>
          <w:rFonts w:cs="Times New Roman"/>
          <w:b/>
          <w:bCs/>
          <w:sz w:val="24"/>
          <w:szCs w:val="24"/>
        </w:rPr>
      </w:pPr>
      <w:r>
        <w:rPr>
          <w:rFonts w:hint="eastAsia" w:ascii="??_GB2312" w:hAnsi="??_GB2312" w:cs="宋体"/>
          <w:b/>
          <w:bCs/>
          <w:sz w:val="32"/>
          <w:szCs w:val="32"/>
        </w:rPr>
        <w:t>八、剑阁县</w:t>
      </w:r>
      <w:r>
        <w:rPr>
          <w:rFonts w:hint="eastAsia" w:ascii="??_GB2312" w:hAnsi="??_GB2312" w:cs="宋体"/>
          <w:b/>
          <w:bCs/>
          <w:sz w:val="32"/>
          <w:szCs w:val="32"/>
          <w:lang w:eastAsia="zh-CN"/>
        </w:rPr>
        <w:t>住建</w:t>
      </w:r>
      <w:r>
        <w:rPr>
          <w:rFonts w:hint="eastAsia" w:ascii="??_GB2312" w:hAnsi="??_GB2312" w:cs="宋体"/>
          <w:b/>
          <w:bCs/>
          <w:sz w:val="32"/>
          <w:szCs w:val="32"/>
        </w:rPr>
        <w:t>局行政执法文书样式、行政执法案卷评查制度</w:t>
      </w:r>
    </w:p>
    <w:p>
      <w:pPr>
        <w:pStyle w:val="2"/>
        <w:widowControl/>
        <w:autoSpaceDE w:val="0"/>
        <w:spacing w:before="0" w:beforeAutospacing="0" w:after="150" w:afterAutospacing="0" w:line="576" w:lineRule="exact"/>
        <w:ind w:firstLine="700" w:firstLineChars="200"/>
        <w:rPr>
          <w:rFonts w:hint="eastAsia" w:ascii="仿宋" w:hAnsi="仿宋" w:eastAsia="仿宋" w:cs="仿宋"/>
          <w:b w:val="0"/>
          <w:bCs w:val="0"/>
          <w:sz w:val="32"/>
          <w:szCs w:val="32"/>
          <w:shd w:val="clear" w:color="auto" w:fill="FFFFFF"/>
        </w:rPr>
      </w:pPr>
      <w:r>
        <w:rPr>
          <w:rFonts w:hint="eastAsia" w:ascii="??_GB2312" w:hAnsi="??_GB2312"/>
          <w:b w:val="0"/>
          <w:bCs w:val="0"/>
          <w:spacing w:val="15"/>
          <w:sz w:val="32"/>
          <w:szCs w:val="32"/>
          <w:shd w:val="clear" w:color="auto" w:fill="FFFFFF"/>
        </w:rPr>
        <w:t>（</w:t>
      </w:r>
      <w:r>
        <w:rPr>
          <w:rFonts w:hint="eastAsia" w:ascii="仿宋" w:hAnsi="仿宋" w:eastAsia="仿宋" w:cs="仿宋"/>
          <w:b w:val="0"/>
          <w:bCs w:val="0"/>
          <w:spacing w:val="15"/>
          <w:sz w:val="32"/>
          <w:szCs w:val="32"/>
          <w:shd w:val="clear" w:color="auto" w:fill="FFFFFF"/>
        </w:rPr>
        <w:t>一）</w:t>
      </w:r>
      <w:r>
        <w:rPr>
          <w:rFonts w:hint="eastAsia" w:ascii="仿宋" w:hAnsi="仿宋" w:eastAsia="仿宋" w:cs="仿宋"/>
          <w:b w:val="0"/>
          <w:bCs w:val="0"/>
          <w:spacing w:val="15"/>
          <w:sz w:val="32"/>
          <w:szCs w:val="32"/>
          <w:shd w:val="clear" w:color="auto" w:fill="FFFFFF"/>
          <w:lang w:eastAsia="zh-CN"/>
        </w:rPr>
        <w:t>住建</w:t>
      </w:r>
      <w:r>
        <w:rPr>
          <w:rFonts w:hint="eastAsia" w:ascii="仿宋" w:hAnsi="仿宋" w:eastAsia="仿宋" w:cs="仿宋"/>
          <w:b w:val="0"/>
          <w:bCs w:val="0"/>
          <w:spacing w:val="15"/>
          <w:sz w:val="32"/>
          <w:szCs w:val="32"/>
          <w:shd w:val="clear" w:color="auto" w:fill="FFFFFF"/>
        </w:rPr>
        <w:t>部关于印发《</w:t>
      </w:r>
      <w:r>
        <w:rPr>
          <w:rFonts w:hint="eastAsia" w:ascii="仿宋" w:hAnsi="仿宋" w:eastAsia="仿宋" w:cs="仿宋"/>
          <w:b w:val="0"/>
          <w:bCs w:val="0"/>
          <w:spacing w:val="15"/>
          <w:sz w:val="32"/>
          <w:szCs w:val="32"/>
          <w:shd w:val="clear" w:color="auto" w:fill="FFFFFF"/>
          <w:lang w:eastAsia="zh-CN"/>
        </w:rPr>
        <w:t>住建</w:t>
      </w:r>
      <w:r>
        <w:rPr>
          <w:rFonts w:hint="eastAsia" w:ascii="仿宋" w:hAnsi="仿宋" w:eastAsia="仿宋" w:cs="仿宋"/>
          <w:b w:val="0"/>
          <w:bCs w:val="0"/>
          <w:spacing w:val="15"/>
          <w:sz w:val="32"/>
          <w:szCs w:val="32"/>
          <w:shd w:val="clear" w:color="auto" w:fill="FFFFFF"/>
        </w:rPr>
        <w:t>行政机关行政许可文书格式文本》的通知。</w:t>
      </w:r>
    </w:p>
    <w:p>
      <w:pPr>
        <w:autoSpaceDE w:val="0"/>
        <w:spacing w:line="576"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（二）</w:t>
      </w:r>
      <w:r>
        <w:rPr>
          <w:rFonts w:hint="eastAsia" w:ascii="仿宋" w:hAnsi="仿宋" w:eastAsia="仿宋" w:cs="仿宋"/>
          <w:sz w:val="32"/>
          <w:szCs w:val="32"/>
          <w:lang w:eastAsia="zh-CN"/>
        </w:rPr>
        <w:t>住建</w:t>
      </w:r>
      <w:r>
        <w:rPr>
          <w:rFonts w:hint="eastAsia" w:ascii="仿宋" w:hAnsi="仿宋" w:eastAsia="仿宋" w:cs="仿宋"/>
          <w:sz w:val="32"/>
          <w:szCs w:val="32"/>
        </w:rPr>
        <w:t>部关于印发</w:t>
      </w:r>
      <w:r>
        <w:rPr>
          <w:rFonts w:hint="eastAsia" w:ascii="仿宋" w:hAnsi="仿宋" w:eastAsia="仿宋" w:cs="仿宋"/>
          <w:spacing w:val="15"/>
          <w:sz w:val="32"/>
          <w:szCs w:val="32"/>
          <w:shd w:val="clear" w:color="auto" w:fill="FFFFFF"/>
        </w:rPr>
        <w:t>《</w:t>
      </w:r>
      <w:r>
        <w:rPr>
          <w:rFonts w:hint="eastAsia" w:ascii="仿宋" w:hAnsi="仿宋" w:eastAsia="仿宋" w:cs="仿宋"/>
          <w:spacing w:val="15"/>
          <w:sz w:val="32"/>
          <w:szCs w:val="32"/>
          <w:shd w:val="clear" w:color="auto" w:fill="FFFFFF"/>
          <w:lang w:eastAsia="zh-CN"/>
        </w:rPr>
        <w:t>住建</w:t>
      </w:r>
      <w:r>
        <w:rPr>
          <w:rFonts w:hint="eastAsia" w:ascii="仿宋" w:hAnsi="仿宋" w:eastAsia="仿宋" w:cs="仿宋"/>
          <w:sz w:val="32"/>
          <w:szCs w:val="32"/>
        </w:rPr>
        <w:t>行政机关行政执法文书格式的通知</w:t>
      </w:r>
      <w:r>
        <w:rPr>
          <w:rFonts w:hint="eastAsia" w:ascii="仿宋" w:hAnsi="仿宋" w:eastAsia="仿宋" w:cs="仿宋"/>
          <w:spacing w:val="15"/>
          <w:sz w:val="32"/>
          <w:szCs w:val="32"/>
          <w:shd w:val="clear" w:color="auto" w:fill="FFFFFF"/>
        </w:rPr>
        <w:t>》。</w:t>
      </w:r>
    </w:p>
    <w:p>
      <w:pPr>
        <w:autoSpaceDE w:val="0"/>
        <w:spacing w:line="576" w:lineRule="exact"/>
        <w:ind w:firstLine="640" w:firstLineChars="200"/>
        <w:rPr>
          <w:rFonts w:hint="eastAsia" w:ascii="仿宋" w:hAnsi="仿宋" w:eastAsia="仿宋" w:cs="仿宋"/>
          <w:shd w:val="clear" w:color="auto" w:fill="FFFFFF"/>
        </w:rPr>
      </w:pPr>
      <w:r>
        <w:rPr>
          <w:rFonts w:hint="eastAsia" w:ascii="仿宋" w:hAnsi="仿宋" w:eastAsia="仿宋" w:cs="仿宋"/>
          <w:sz w:val="32"/>
          <w:szCs w:val="32"/>
        </w:rPr>
        <w:t>（三）剑阁县</w:t>
      </w:r>
      <w:r>
        <w:rPr>
          <w:rFonts w:hint="eastAsia" w:ascii="仿宋" w:hAnsi="仿宋" w:eastAsia="仿宋" w:cs="仿宋"/>
          <w:sz w:val="32"/>
          <w:szCs w:val="32"/>
          <w:lang w:eastAsia="zh-CN"/>
        </w:rPr>
        <w:t>住房和城乡建设</w:t>
      </w:r>
      <w:r>
        <w:rPr>
          <w:rFonts w:hint="eastAsia" w:ascii="仿宋" w:hAnsi="仿宋" w:eastAsia="仿宋" w:cs="仿宋"/>
          <w:sz w:val="32"/>
          <w:szCs w:val="32"/>
        </w:rPr>
        <w:t>局关于印发《剑阁县</w:t>
      </w:r>
      <w:r>
        <w:rPr>
          <w:rFonts w:hint="eastAsia" w:ascii="仿宋" w:hAnsi="仿宋" w:eastAsia="仿宋" w:cs="仿宋"/>
          <w:sz w:val="32"/>
          <w:szCs w:val="32"/>
          <w:lang w:eastAsia="zh-CN"/>
        </w:rPr>
        <w:t>住房和城乡建设</w:t>
      </w:r>
      <w:r>
        <w:rPr>
          <w:rFonts w:hint="eastAsia" w:ascii="仿宋" w:hAnsi="仿宋" w:eastAsia="仿宋" w:cs="仿宋"/>
          <w:sz w:val="32"/>
          <w:szCs w:val="32"/>
        </w:rPr>
        <w:t>局关于行政机关行政执法案卷评查办法》及相关配套规定的通知。</w:t>
      </w:r>
    </w:p>
    <w:p>
      <w:pPr>
        <w:autoSpaceDE w:val="0"/>
        <w:spacing w:line="576" w:lineRule="exact"/>
        <w:ind w:firstLine="642" w:firstLineChars="200"/>
        <w:jc w:val="left"/>
        <w:rPr>
          <w:rFonts w:hint="eastAsia" w:ascii="黑体" w:hAnsi="黑体" w:eastAsia="黑体" w:cs="黑体"/>
          <w:b/>
          <w:bCs/>
          <w:sz w:val="32"/>
          <w:szCs w:val="32"/>
        </w:rPr>
      </w:pPr>
      <w:r>
        <w:rPr>
          <w:rFonts w:hint="eastAsia" w:ascii="黑体" w:hAnsi="黑体" w:eastAsia="黑体" w:cs="黑体"/>
          <w:b/>
          <w:bCs/>
          <w:sz w:val="32"/>
          <w:szCs w:val="32"/>
        </w:rPr>
        <w:t>九、县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局上年度双随机抽查结果、行政许可和处罚决定、上年度本机关行政执法数据总体情况</w:t>
      </w:r>
    </w:p>
    <w:p>
      <w:pPr>
        <w:numPr>
          <w:ilvl w:val="0"/>
          <w:numId w:val="6"/>
        </w:numPr>
        <w:autoSpaceDE w:val="0"/>
        <w:spacing w:line="576" w:lineRule="exact"/>
        <w:rPr>
          <w:rFonts w:hint="eastAsia" w:ascii="仿宋" w:hAnsi="仿宋" w:eastAsia="仿宋" w:cs="仿宋"/>
          <w:sz w:val="32"/>
          <w:szCs w:val="32"/>
        </w:rPr>
      </w:pPr>
      <w:r>
        <w:rPr>
          <w:rFonts w:hint="eastAsia" w:ascii="仿宋" w:hAnsi="仿宋" w:eastAsia="仿宋" w:cs="仿宋"/>
          <w:sz w:val="32"/>
          <w:szCs w:val="32"/>
        </w:rPr>
        <w:t>上年度本机关行政执法数据总体情况</w:t>
      </w:r>
    </w:p>
    <w:p>
      <w:pPr>
        <w:autoSpaceDE w:val="0"/>
        <w:spacing w:line="576" w:lineRule="exact"/>
        <w:ind w:left="630"/>
        <w:rPr>
          <w:rFonts w:hint="eastAsia" w:ascii="仿宋" w:hAnsi="仿宋" w:eastAsia="仿宋" w:cs="仿宋"/>
          <w:sz w:val="32"/>
          <w:szCs w:val="32"/>
        </w:rPr>
      </w:pPr>
      <w:r>
        <w:rPr>
          <w:rFonts w:hint="eastAsia" w:ascii="仿宋" w:hAnsi="仿宋" w:eastAsia="仿宋" w:cs="仿宋"/>
          <w:sz w:val="32"/>
          <w:szCs w:val="32"/>
        </w:rPr>
        <w:t>http://www.cnjg.gov.cn</w:t>
      </w:r>
    </w:p>
    <w:p>
      <w:pPr>
        <w:numPr>
          <w:ilvl w:val="0"/>
          <w:numId w:val="6"/>
        </w:numPr>
        <w:autoSpaceDE w:val="0"/>
        <w:spacing w:line="576" w:lineRule="exact"/>
        <w:rPr>
          <w:rFonts w:hint="eastAsia" w:ascii="仿宋" w:hAnsi="仿宋" w:eastAsia="仿宋" w:cs="仿宋"/>
          <w:sz w:val="32"/>
          <w:szCs w:val="32"/>
        </w:rPr>
      </w:pPr>
      <w:r>
        <w:rPr>
          <w:rFonts w:hint="eastAsia" w:ascii="仿宋" w:hAnsi="仿宋" w:eastAsia="仿宋" w:cs="仿宋"/>
          <w:sz w:val="32"/>
          <w:szCs w:val="32"/>
        </w:rPr>
        <w:t>行政许可和行政处罚决定公示</w:t>
      </w:r>
    </w:p>
    <w:p>
      <w:pPr>
        <w:numPr>
          <w:ilvl w:val="0"/>
          <w:numId w:val="0"/>
        </w:numPr>
        <w:autoSpaceDE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http://www.cnjg.gov.cn/</w:t>
      </w:r>
    </w:p>
    <w:p>
      <w:pPr>
        <w:numPr>
          <w:ilvl w:val="0"/>
          <w:numId w:val="0"/>
        </w:numPr>
        <w:autoSpaceDE w:val="0"/>
        <w:spacing w:line="576" w:lineRule="exact"/>
        <w:ind w:firstLine="642" w:firstLineChars="200"/>
        <w:rPr>
          <w:rFonts w:hint="eastAsia" w:ascii="黑体" w:hAnsi="黑体" w:eastAsia="黑体" w:cs="黑体"/>
          <w:b/>
          <w:bCs/>
          <w:sz w:val="32"/>
          <w:szCs w:val="32"/>
        </w:rPr>
      </w:pPr>
      <w:r>
        <w:rPr>
          <w:rFonts w:hint="eastAsia" w:ascii="黑体" w:hAnsi="黑体" w:eastAsia="黑体" w:cs="黑体"/>
          <w:b/>
          <w:bCs/>
          <w:sz w:val="32"/>
          <w:szCs w:val="32"/>
          <w:lang w:eastAsia="zh-CN"/>
        </w:rPr>
        <w:t>十、</w:t>
      </w:r>
      <w:r>
        <w:rPr>
          <w:rFonts w:hint="eastAsia" w:ascii="黑体" w:hAnsi="黑体" w:eastAsia="黑体" w:cs="黑体"/>
          <w:b/>
          <w:bCs/>
          <w:sz w:val="32"/>
          <w:szCs w:val="32"/>
        </w:rPr>
        <w:t>县</w:t>
      </w:r>
      <w:r>
        <w:rPr>
          <w:rFonts w:hint="eastAsia" w:ascii="黑体" w:hAnsi="黑体" w:eastAsia="黑体" w:cs="黑体"/>
          <w:b/>
          <w:bCs/>
          <w:sz w:val="32"/>
          <w:szCs w:val="32"/>
          <w:lang w:eastAsia="zh-CN"/>
        </w:rPr>
        <w:t>住建</w:t>
      </w:r>
      <w:r>
        <w:rPr>
          <w:rFonts w:hint="eastAsia" w:ascii="黑体" w:hAnsi="黑体" w:eastAsia="黑体" w:cs="黑体"/>
          <w:b/>
          <w:bCs/>
          <w:sz w:val="32"/>
          <w:szCs w:val="32"/>
        </w:rPr>
        <w:t>局实行</w:t>
      </w:r>
      <w:r>
        <w:rPr>
          <w:rFonts w:hint="eastAsia" w:ascii="黑体" w:hAnsi="黑体" w:eastAsia="黑体" w:cs="黑体"/>
          <w:b/>
          <w:bCs/>
          <w:sz w:val="32"/>
          <w:szCs w:val="32"/>
          <w:lang w:eastAsia="zh-CN"/>
        </w:rPr>
        <w:t>行</w:t>
      </w:r>
      <w:r>
        <w:rPr>
          <w:rFonts w:hint="eastAsia" w:ascii="黑体" w:hAnsi="黑体" w:eastAsia="黑体" w:cs="黑体"/>
          <w:b/>
          <w:bCs/>
          <w:sz w:val="32"/>
          <w:szCs w:val="32"/>
        </w:rPr>
        <w:t>政执法三项制度方案</w:t>
      </w:r>
    </w:p>
    <w:p>
      <w:pPr>
        <w:autoSpaceDE w:val="0"/>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比照县三项制度关于印发《剑阁县</w:t>
      </w:r>
      <w:r>
        <w:rPr>
          <w:rFonts w:hint="eastAsia" w:ascii="仿宋" w:hAnsi="仿宋" w:eastAsia="仿宋" w:cs="仿宋"/>
          <w:sz w:val="32"/>
          <w:szCs w:val="32"/>
          <w:lang w:eastAsia="zh-CN"/>
        </w:rPr>
        <w:t>住房和城乡建设</w:t>
      </w:r>
      <w:r>
        <w:rPr>
          <w:rFonts w:hint="eastAsia" w:ascii="仿宋" w:hAnsi="仿宋" w:eastAsia="仿宋" w:cs="仿宋"/>
          <w:sz w:val="32"/>
          <w:szCs w:val="32"/>
        </w:rPr>
        <w:t>局全面推行行政执法公示制度执法全过程记录制度重大执法决定法制审核制度实施办法》的通知</w:t>
      </w:r>
    </w:p>
    <w:sectPr>
      <w:pgSz w:w="11906" w:h="16838"/>
      <w:pgMar w:top="1701" w:right="1474" w:bottom="1304" w:left="1474" w:header="851" w:footer="1587"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Latha"/>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altName w:val="黑体"/>
    <w:panose1 w:val="020B0503020204020204"/>
    <w:charset w:val="86"/>
    <w:family w:val="swiss"/>
    <w:pitch w:val="default"/>
    <w:sig w:usb0="00000000" w:usb1="00000000" w:usb2="00000016" w:usb3="00000000" w:csb0="0004001F" w:csb1="00000000"/>
  </w:font>
  <w:font w:name="宋体 ，Arial">
    <w:altName w:val="宋体"/>
    <w:panose1 w:val="00000000000000000000"/>
    <w:charset w:val="86"/>
    <w:family w:val="roman"/>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Lucida Sans">
    <w:panose1 w:val="020B0602030504020204"/>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46C96"/>
    <w:multiLevelType w:val="singleLevel"/>
    <w:tmpl w:val="A2546C96"/>
    <w:lvl w:ilvl="0" w:tentative="0">
      <w:start w:val="2"/>
      <w:numFmt w:val="chineseCounting"/>
      <w:suff w:val="nothing"/>
      <w:lvlText w:val="（%1）"/>
      <w:lvlJc w:val="left"/>
      <w:rPr>
        <w:rFonts w:hint="eastAsia"/>
      </w:rPr>
    </w:lvl>
  </w:abstractNum>
  <w:abstractNum w:abstractNumId="1">
    <w:nsid w:val="AE1FD4DE"/>
    <w:multiLevelType w:val="singleLevel"/>
    <w:tmpl w:val="AE1FD4DE"/>
    <w:lvl w:ilvl="0" w:tentative="0">
      <w:start w:val="4"/>
      <w:numFmt w:val="chineseCounting"/>
      <w:suff w:val="nothing"/>
      <w:lvlText w:val="%1、"/>
      <w:lvlJc w:val="left"/>
      <w:rPr>
        <w:rFonts w:hint="eastAsia"/>
      </w:rPr>
    </w:lvl>
  </w:abstractNum>
  <w:abstractNum w:abstractNumId="2">
    <w:nsid w:val="6F8BA912"/>
    <w:multiLevelType w:val="singleLevel"/>
    <w:tmpl w:val="6F8BA912"/>
    <w:lvl w:ilvl="0" w:tentative="0">
      <w:start w:val="3"/>
      <w:numFmt w:val="chineseCounting"/>
      <w:suff w:val="nothing"/>
      <w:lvlText w:val="（%1）"/>
      <w:lvlJc w:val="left"/>
      <w:rPr>
        <w:rFonts w:hint="eastAsia"/>
      </w:rPr>
    </w:lvl>
  </w:abstractNum>
  <w:abstractNum w:abstractNumId="3">
    <w:nsid w:val="74CC1CFA"/>
    <w:multiLevelType w:val="singleLevel"/>
    <w:tmpl w:val="74CC1CFA"/>
    <w:lvl w:ilvl="0" w:tentative="0">
      <w:start w:val="2"/>
      <w:numFmt w:val="decimal"/>
      <w:suff w:val="nothing"/>
      <w:lvlText w:val="（%1）"/>
      <w:lvlJc w:val="left"/>
    </w:lvl>
  </w:abstractNum>
  <w:abstractNum w:abstractNumId="4">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A6ACD2E"/>
    <w:multiLevelType w:val="singleLevel"/>
    <w:tmpl w:val="7A6ACD2E"/>
    <w:lvl w:ilvl="0" w:tentative="0">
      <w:start w:val="1"/>
      <w:numFmt w:val="decimal"/>
      <w:suff w:val="nothing"/>
      <w:lvlText w:val="%1、"/>
      <w:lvlJc w:val="left"/>
    </w:lvl>
  </w:abstractNum>
  <w:num w:numId="1">
    <w:abstractNumId w:val="1"/>
  </w:num>
  <w:num w:numId="2">
    <w:abstractNumId w:val="0"/>
  </w:num>
  <w:num w:numId="3">
    <w:abstractNumId w:val="5"/>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oNotHyphenateCaps/>
  <w:drawingGridHorizontalSpacing w:val="210"/>
  <w:drawingGridVerticalSpacing w:val="159"/>
  <w:displayHorizontalDrawingGridEvery w:val="1"/>
  <w:displayVerticalDrawingGridEvery w:val="1"/>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5578"/>
    <w:rsid w:val="00292C79"/>
    <w:rsid w:val="003C4D35"/>
    <w:rsid w:val="0053234A"/>
    <w:rsid w:val="00701931"/>
    <w:rsid w:val="008A10C7"/>
    <w:rsid w:val="008C60A4"/>
    <w:rsid w:val="00940E78"/>
    <w:rsid w:val="009A4077"/>
    <w:rsid w:val="009E3903"/>
    <w:rsid w:val="00AC007B"/>
    <w:rsid w:val="00CC57BE"/>
    <w:rsid w:val="04A24347"/>
    <w:rsid w:val="091342A6"/>
    <w:rsid w:val="0D3C3AE6"/>
    <w:rsid w:val="0DE233FE"/>
    <w:rsid w:val="0EF92A80"/>
    <w:rsid w:val="0F3D2844"/>
    <w:rsid w:val="0FBB20F7"/>
    <w:rsid w:val="12015FA9"/>
    <w:rsid w:val="134A1351"/>
    <w:rsid w:val="16112EB8"/>
    <w:rsid w:val="17B37D0E"/>
    <w:rsid w:val="20B103D4"/>
    <w:rsid w:val="2216066E"/>
    <w:rsid w:val="222370F0"/>
    <w:rsid w:val="2604569A"/>
    <w:rsid w:val="266862F4"/>
    <w:rsid w:val="26EA0F17"/>
    <w:rsid w:val="277B31E0"/>
    <w:rsid w:val="292D1B82"/>
    <w:rsid w:val="2AA57364"/>
    <w:rsid w:val="2FAB79C0"/>
    <w:rsid w:val="31111D89"/>
    <w:rsid w:val="31FB07E1"/>
    <w:rsid w:val="32023BDC"/>
    <w:rsid w:val="347330D6"/>
    <w:rsid w:val="36BB0294"/>
    <w:rsid w:val="38925333"/>
    <w:rsid w:val="3CE67328"/>
    <w:rsid w:val="41B379C7"/>
    <w:rsid w:val="45885F05"/>
    <w:rsid w:val="47CC7789"/>
    <w:rsid w:val="4E326A58"/>
    <w:rsid w:val="4EA2534C"/>
    <w:rsid w:val="51C374D9"/>
    <w:rsid w:val="5240575A"/>
    <w:rsid w:val="55A64475"/>
    <w:rsid w:val="57052F4A"/>
    <w:rsid w:val="573F747E"/>
    <w:rsid w:val="58EF599D"/>
    <w:rsid w:val="59EC3B2B"/>
    <w:rsid w:val="5B140FA3"/>
    <w:rsid w:val="5B31399A"/>
    <w:rsid w:val="5C64218D"/>
    <w:rsid w:val="5D4E0213"/>
    <w:rsid w:val="603C1950"/>
    <w:rsid w:val="62F55503"/>
    <w:rsid w:val="68E4482F"/>
    <w:rsid w:val="6EC26A02"/>
    <w:rsid w:val="783005EF"/>
    <w:rsid w:val="783074C6"/>
    <w:rsid w:val="7AEA69AB"/>
    <w:rsid w:val="7C517E37"/>
    <w:rsid w:val="7CED5A22"/>
    <w:rsid w:val="7D8E7A35"/>
    <w:rsid w:val="7F7A6062"/>
    <w:rsid w:val="7FBA5FD6"/>
    <w:rsid w:val="ABFF01F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0"/>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7">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9"/>
    <w:qFormat/>
    <w:uiPriority w:val="99"/>
    <w:pPr>
      <w:tabs>
        <w:tab w:val="center" w:pos="4153"/>
        <w:tab w:val="right" w:pos="8306"/>
      </w:tabs>
      <w:snapToGrid w:val="0"/>
      <w:jc w:val="left"/>
    </w:pPr>
    <w:rPr>
      <w:sz w:val="18"/>
      <w:szCs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page number"/>
    <w:basedOn w:val="7"/>
    <w:qFormat/>
    <w:uiPriority w:val="99"/>
  </w:style>
  <w:style w:type="character" w:styleId="9">
    <w:name w:val="Hyperlink"/>
    <w:basedOn w:val="7"/>
    <w:qFormat/>
    <w:uiPriority w:val="99"/>
    <w:rPr>
      <w:color w:val="0000FF"/>
      <w:u w:val="single"/>
    </w:rPr>
  </w:style>
  <w:style w:type="character" w:customStyle="1" w:styleId="10">
    <w:name w:val="Heading 1 Char"/>
    <w:basedOn w:val="7"/>
    <w:link w:val="2"/>
    <w:qFormat/>
    <w:locked/>
    <w:uiPriority w:val="99"/>
    <w:rPr>
      <w:rFonts w:ascii="宋体" w:hAnsi="宋体" w:eastAsia="宋体" w:cs="宋体"/>
      <w:b/>
      <w:bCs/>
      <w:kern w:val="44"/>
      <w:sz w:val="48"/>
      <w:szCs w:val="48"/>
    </w:rPr>
  </w:style>
  <w:style w:type="paragraph" w:customStyle="1" w:styleId="11">
    <w:name w:val="_Style 19"/>
    <w:basedOn w:val="1"/>
    <w:next w:val="1"/>
    <w:qFormat/>
    <w:uiPriority w:val="99"/>
    <w:pPr>
      <w:pBdr>
        <w:top w:val="single" w:color="auto" w:sz="6" w:space="1"/>
      </w:pBdr>
      <w:jc w:val="center"/>
    </w:pPr>
    <w:rPr>
      <w:rFonts w:ascii="Arial" w:cs="Arial"/>
      <w:vanish/>
      <w:sz w:val="16"/>
      <w:szCs w:val="16"/>
    </w:rPr>
  </w:style>
  <w:style w:type="paragraph" w:customStyle="1" w:styleId="12">
    <w:name w:val="_Style 18"/>
    <w:basedOn w:val="1"/>
    <w:next w:val="1"/>
    <w:qFormat/>
    <w:uiPriority w:val="99"/>
    <w:pPr>
      <w:pBdr>
        <w:bottom w:val="single" w:color="auto" w:sz="6" w:space="1"/>
      </w:pBdr>
      <w:jc w:val="center"/>
    </w:pPr>
    <w:rPr>
      <w:rFonts w:ascii="Arial" w:cs="Arial"/>
      <w:vanish/>
      <w:sz w:val="16"/>
      <w:szCs w:val="16"/>
    </w:rPr>
  </w:style>
  <w:style w:type="character" w:customStyle="1" w:styleId="13">
    <w:name w:val="15"/>
    <w:basedOn w:val="7"/>
    <w:qFormat/>
    <w:uiPriority w:val="99"/>
    <w:rPr>
      <w:rFonts w:ascii="Calibri" w:hAnsi="Calibri" w:cs="Calibri"/>
      <w:color w:val="0000FF"/>
    </w:rPr>
  </w:style>
  <w:style w:type="character" w:customStyle="1" w:styleId="14">
    <w:name w:val="wenda-abstract-listnum"/>
    <w:basedOn w:val="7"/>
    <w:qFormat/>
    <w:uiPriority w:val="99"/>
  </w:style>
  <w:style w:type="character" w:customStyle="1" w:styleId="15">
    <w:name w:val="font81"/>
    <w:basedOn w:val="7"/>
    <w:qFormat/>
    <w:uiPriority w:val="99"/>
    <w:rPr>
      <w:rFonts w:ascii="宋体" w:hAnsi="宋体" w:eastAsia="宋体" w:cs="宋体"/>
      <w:color w:val="auto"/>
      <w:sz w:val="20"/>
      <w:szCs w:val="20"/>
      <w:u w:val="none"/>
    </w:rPr>
  </w:style>
  <w:style w:type="character" w:customStyle="1" w:styleId="16">
    <w:name w:val="font51"/>
    <w:basedOn w:val="7"/>
    <w:qFormat/>
    <w:uiPriority w:val="99"/>
    <w:rPr>
      <w:rFonts w:ascii="宋体" w:hAnsi="宋体" w:eastAsia="宋体" w:cs="宋体"/>
      <w:color w:val="000000"/>
      <w:sz w:val="20"/>
      <w:szCs w:val="20"/>
      <w:u w:val="none"/>
    </w:rPr>
  </w:style>
  <w:style w:type="character" w:customStyle="1" w:styleId="17">
    <w:name w:val="font41"/>
    <w:basedOn w:val="7"/>
    <w:qFormat/>
    <w:uiPriority w:val="99"/>
    <w:rPr>
      <w:rFonts w:ascii="宋体" w:hAnsi="宋体" w:eastAsia="宋体" w:cs="宋体"/>
      <w:color w:val="000000"/>
      <w:sz w:val="20"/>
      <w:szCs w:val="20"/>
      <w:u w:val="none"/>
    </w:rPr>
  </w:style>
  <w:style w:type="character" w:customStyle="1" w:styleId="18">
    <w:name w:val="font31"/>
    <w:basedOn w:val="7"/>
    <w:qFormat/>
    <w:uiPriority w:val="99"/>
    <w:rPr>
      <w:rFonts w:ascii="宋体" w:hAnsi="宋体" w:eastAsia="宋体" w:cs="宋体"/>
      <w:b/>
      <w:bCs/>
      <w:color w:val="000000"/>
      <w:sz w:val="20"/>
      <w:szCs w:val="20"/>
      <w:u w:val="none"/>
    </w:rPr>
  </w:style>
  <w:style w:type="character" w:customStyle="1" w:styleId="19">
    <w:name w:val="Footer Char"/>
    <w:basedOn w:val="7"/>
    <w:link w:val="3"/>
    <w:semiHidden/>
    <w:qFormat/>
    <w:uiPriority w:val="99"/>
    <w:rPr>
      <w:rFonts w:cs="Calibri"/>
      <w:sz w:val="18"/>
      <w:szCs w:val="18"/>
    </w:rPr>
  </w:style>
  <w:style w:type="character" w:customStyle="1" w:styleId="20">
    <w:name w:val="font01"/>
    <w:basedOn w:val="7"/>
    <w:qFormat/>
    <w:uiPriority w:val="0"/>
    <w:rPr>
      <w:rFonts w:hint="default" w:ascii="等线" w:hAnsi="等线" w:eastAsia="等线" w:cs="等线"/>
      <w:color w:val="000000"/>
      <w:sz w:val="22"/>
      <w:szCs w:val="22"/>
      <w:u w:val="none"/>
    </w:rPr>
  </w:style>
  <w:style w:type="character" w:customStyle="1" w:styleId="21">
    <w:name w:val="font11"/>
    <w:basedOn w:val="7"/>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1440</Words>
  <Characters>8209</Characters>
  <Lines>0</Lines>
  <Paragraphs>0</Paragraphs>
  <TotalTime>8</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2020-05-26T09:34:00Z</dcterms:created>
  <dc:creator>Sky123.Org</dc:creator>
  <cp:lastModifiedBy>user</cp:lastModifiedBy>
  <cp:lastPrinted>2020-06-08T11:13:00Z</cp:lastPrinted>
  <dcterms:modified xsi:type="dcterms:W3CDTF">2023-12-11T17:02:07Z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